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45662E">
      <w:pPr>
        <w:spacing w:line="1240" w:lineRule="exact"/>
        <w:ind w:left="-46" w:leftChars="-200" w:right="-653" w:rightChars="-311" w:hanging="374" w:hangingChars="39"/>
        <w:jc w:val="center"/>
        <w:rPr>
          <w:color w:val="FF0000"/>
          <w:sz w:val="96"/>
          <w:szCs w:val="96"/>
        </w:rPr>
      </w:pPr>
      <w:r>
        <w:rPr>
          <w:rFonts w:eastAsia="宋体"/>
          <w:color w:val="FF0000"/>
          <w:kern w:val="0"/>
          <w:sz w:val="96"/>
          <w:szCs w:val="96"/>
        </w:rPr>
        <w:t>苏州</w:t>
      </w:r>
      <w:r>
        <w:rPr>
          <w:rFonts w:hint="eastAsia" w:eastAsia="宋体"/>
          <w:color w:val="FF0000"/>
          <w:kern w:val="0"/>
          <w:sz w:val="96"/>
          <w:szCs w:val="96"/>
        </w:rPr>
        <w:t>市生态环境</w:t>
      </w:r>
      <w:r>
        <w:rPr>
          <w:rFonts w:eastAsia="宋体"/>
          <w:color w:val="FF0000"/>
          <w:kern w:val="0"/>
          <w:sz w:val="96"/>
          <w:szCs w:val="96"/>
        </w:rPr>
        <w:t>局</w:t>
      </w:r>
      <w:r>
        <w:rPr>
          <w:rFonts w:hint="eastAsia" w:eastAsia="宋体"/>
          <w:color w:val="FF0000"/>
          <w:kern w:val="0"/>
          <w:sz w:val="96"/>
          <w:szCs w:val="96"/>
        </w:rPr>
        <w:t>文件</w:t>
      </w:r>
    </w:p>
    <w:p w14:paraId="106DDAB7">
      <w:pPr>
        <w:spacing w:line="420" w:lineRule="exact"/>
        <w:rPr>
          <w:sz w:val="32"/>
          <w:szCs w:val="32"/>
        </w:rPr>
      </w:pPr>
    </w:p>
    <w:p w14:paraId="616C5673">
      <w:pPr>
        <w:spacing w:line="420" w:lineRule="exact"/>
        <w:rPr>
          <w:sz w:val="32"/>
          <w:szCs w:val="32"/>
        </w:rPr>
      </w:pPr>
    </w:p>
    <w:p w14:paraId="143D6DEB">
      <w:pPr>
        <w:spacing w:line="560" w:lineRule="exact"/>
        <w:jc w:val="center"/>
        <w:rPr>
          <w:rFonts w:hint="eastAsia" w:ascii="仿宋_GB2312" w:eastAsia="仿宋_GB2312"/>
          <w:bCs/>
          <w:sz w:val="32"/>
          <w:szCs w:val="32"/>
          <w:lang w:eastAsia="zh-CN"/>
        </w:rPr>
      </w:pPr>
      <w:bookmarkStart w:id="0" w:name="as_spwh"/>
      <w:r>
        <w:rPr>
          <w:rFonts w:hint="eastAsia" w:ascii="仿宋_GB2312" w:eastAsia="仿宋_GB2312"/>
          <w:bCs/>
          <w:sz w:val="32"/>
          <w:szCs w:val="32"/>
          <w:lang w:eastAsia="zh-CN"/>
        </w:rPr>
        <w:t>苏环建〔2026〕09第0090号</w:t>
      </w:r>
      <w:bookmarkEnd w:id="0"/>
    </w:p>
    <w:p w14:paraId="13AE98AE">
      <w:pPr>
        <w:pStyle w:val="6"/>
        <w:tabs>
          <w:tab w:val="left" w:pos="425"/>
        </w:tabs>
        <w:adjustRightInd w:val="0"/>
        <w:snapToGrid w:val="0"/>
        <w:spacing w:line="560" w:lineRule="exact"/>
        <w:ind w:firstLine="0" w:firstLineChars="0"/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124460</wp:posOffset>
                </wp:positionV>
                <wp:extent cx="5600700" cy="0"/>
                <wp:effectExtent l="0" t="22225" r="0" b="28575"/>
                <wp:wrapNone/>
                <wp:docPr id="3" name="直线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4445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34" o:spid="_x0000_s1026" o:spt="20" style="position:absolute;left:0pt;margin-left:0.05pt;margin-top:9.8pt;height:0pt;width:441pt;z-index:251661312;mso-width-relative:page;mso-height-relative:page;" filled="f" stroked="t" coordsize="21600,21600" o:gfxdata="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pueHbdIAAAAGAQAADwAA&#10;AAAAAAABACAAAAAiAAAAZHJzL2Rvd25yZXYueG1sUEsBAhQAFAAAAAgAh07iQDH8NbDjAQAA0QMA&#10;AA4AAAAAAAAAAQAgAAAAIQEAAGRycy9lMm9Eb2MueG1sUEsFBgAAAAAGAAYAWQEAAHYFAAAAAA==&#10;">
                <v:fill on="f" focussize="0,0"/>
                <v:stroke weight="3.5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-6985</wp:posOffset>
                </wp:positionH>
                <wp:positionV relativeFrom="paragraph">
                  <wp:posOffset>36195</wp:posOffset>
                </wp:positionV>
                <wp:extent cx="5600700" cy="0"/>
                <wp:effectExtent l="0" t="0" r="0" b="0"/>
                <wp:wrapNone/>
                <wp:docPr id="2" name="直线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3810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34" o:spid="_x0000_s1026" o:spt="20" style="position:absolute;left:0pt;margin-left:-0.55pt;margin-top:2.85pt;height:0pt;width:441pt;z-index:251660288;mso-width-relative:page;mso-height-relative:page;" filled="f" stroked="f" coordsize="21600,21600" o:gfxdata="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">
                <v:fill on="f" focussize="0,0"/>
                <v:stroke on="f" weight="3pt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133350</wp:posOffset>
                </wp:positionV>
                <wp:extent cx="5615940" cy="0"/>
                <wp:effectExtent l="0" t="0" r="0" b="0"/>
                <wp:wrapSquare wrapText="bothSides"/>
                <wp:docPr id="1" name="直线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ln w="3175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59" o:spid="_x0000_s1026" o:spt="20" style="position:absolute;left:0pt;margin-left:0pt;margin-top:10.5pt;height:0pt;width:442.2pt;mso-wrap-distance-bottom:0pt;mso-wrap-distance-left:9pt;mso-wrap-distance-right:9pt;mso-wrap-distance-top:0pt;z-index:251659264;mso-width-relative:page;mso-height-relative:page;" filled="f" stroked="f" coordsize="21600,21600" o:gfxdata="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">
                <v:fill on="f" focussize="0,0"/>
                <v:stroke on="f" weight="2.5pt"/>
                <v:imagedata o:title=""/>
                <o:lock v:ext="edit" aspectratio="f"/>
                <w10:wrap type="square"/>
              </v:line>
            </w:pict>
          </mc:Fallback>
        </mc:AlternateContent>
      </w:r>
    </w:p>
    <w:p w14:paraId="2C24098E">
      <w:pPr>
        <w:pStyle w:val="6"/>
        <w:tabs>
          <w:tab w:val="left" w:pos="425"/>
        </w:tabs>
        <w:adjustRightInd w:val="0"/>
        <w:snapToGrid w:val="0"/>
        <w:spacing w:line="560" w:lineRule="exact"/>
        <w:ind w:firstLine="0" w:firstLineChars="0"/>
      </w:pPr>
    </w:p>
    <w:p w14:paraId="04C66048">
      <w:pPr>
        <w:pStyle w:val="4"/>
        <w:adjustRightInd w:val="0"/>
        <w:snapToGrid w:val="0"/>
        <w:spacing w:line="640" w:lineRule="exact"/>
        <w:jc w:val="center"/>
        <w:rPr>
          <w:rFonts w:hint="eastAsia" w:ascii="宋体" w:hAnsi="宋体" w:eastAsia="宋体"/>
          <w:sz w:val="44"/>
          <w:szCs w:val="44"/>
          <w:lang w:eastAsia="zh-CN"/>
        </w:rPr>
      </w:pPr>
      <w:bookmarkStart w:id="1" w:name="pf_title"/>
      <w:r>
        <w:rPr>
          <w:rFonts w:hint="eastAsia" w:ascii="宋体" w:hAnsi="宋体" w:eastAsia="宋体"/>
          <w:sz w:val="44"/>
          <w:szCs w:val="44"/>
          <w:lang w:eastAsia="zh-CN"/>
        </w:rPr>
        <w:t>关于对苏州市黄甫空气净化工程有限公司</w:t>
      </w:r>
    </w:p>
    <w:p w14:paraId="2A1F6197">
      <w:pPr>
        <w:pStyle w:val="4"/>
        <w:adjustRightInd w:val="0"/>
        <w:snapToGrid w:val="0"/>
        <w:spacing w:line="640" w:lineRule="exact"/>
        <w:jc w:val="center"/>
        <w:rPr>
          <w:rFonts w:hint="eastAsia" w:ascii="宋体" w:hAnsi="宋体" w:eastAsia="宋体"/>
          <w:sz w:val="44"/>
          <w:szCs w:val="44"/>
          <w:lang w:eastAsia="zh-CN"/>
        </w:rPr>
      </w:pPr>
      <w:r>
        <w:rPr>
          <w:rFonts w:hint="eastAsia" w:ascii="宋体" w:hAnsi="宋体" w:eastAsia="宋体"/>
          <w:sz w:val="44"/>
          <w:szCs w:val="44"/>
          <w:lang w:eastAsia="zh-CN"/>
        </w:rPr>
        <w:t>建设项目环境影响报告表的批复</w:t>
      </w:r>
      <w:bookmarkEnd w:id="1"/>
    </w:p>
    <w:p w14:paraId="7C516F34">
      <w:pPr>
        <w:pStyle w:val="6"/>
        <w:tabs>
          <w:tab w:val="left" w:pos="425"/>
        </w:tabs>
        <w:adjustRightInd w:val="0"/>
        <w:snapToGrid w:val="0"/>
        <w:spacing w:line="560" w:lineRule="exact"/>
        <w:ind w:firstLine="0" w:firstLineChars="0"/>
        <w:jc w:val="left"/>
      </w:pPr>
    </w:p>
    <w:tbl>
      <w:tblPr>
        <w:tblStyle w:val="12"/>
        <w:tblW w:w="9177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77"/>
      </w:tblGrid>
      <w:tr w14:paraId="144FC8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77" w:type="dxa"/>
            <w:shd w:val="clear" w:color="auto" w:fill="auto"/>
          </w:tcPr>
          <w:p w14:paraId="5B242296">
            <w:pPr>
              <w:pStyle w:val="6"/>
              <w:tabs>
                <w:tab w:val="left" w:pos="425"/>
              </w:tabs>
              <w:adjustRightInd w:val="0"/>
              <w:snapToGrid w:val="0"/>
              <w:spacing w:line="600" w:lineRule="exact"/>
              <w:ind w:firstLine="0" w:firstLineChars="0"/>
              <w:jc w:val="left"/>
              <w:rPr>
                <w:szCs w:val="32"/>
              </w:rPr>
            </w:pPr>
            <w:bookmarkStart w:id="2" w:name="pf_dwmc"/>
            <w:r>
              <w:rPr>
                <w:rFonts w:hint="eastAsia"/>
                <w:szCs w:val="32"/>
                <w:lang w:eastAsia="zh-CN"/>
              </w:rPr>
              <w:t>苏州市黄甫空气净化工程有限公司</w:t>
            </w:r>
            <w:bookmarkEnd w:id="2"/>
            <w:r>
              <w:rPr>
                <w:rFonts w:hint="eastAsia"/>
                <w:szCs w:val="32"/>
              </w:rPr>
              <w:t>：</w:t>
            </w:r>
          </w:p>
        </w:tc>
      </w:tr>
      <w:tr w14:paraId="7755C8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77" w:type="dxa"/>
            <w:shd w:val="clear" w:color="auto" w:fill="auto"/>
          </w:tcPr>
          <w:p w14:paraId="63CD5766">
            <w:pPr>
              <w:pStyle w:val="6"/>
              <w:tabs>
                <w:tab w:val="left" w:pos="425"/>
              </w:tabs>
              <w:adjustRightInd w:val="0"/>
              <w:snapToGrid w:val="0"/>
              <w:spacing w:line="600" w:lineRule="exact"/>
              <w:jc w:val="left"/>
              <w:rPr>
                <w:rFonts w:hint="eastAsia" w:ascii="Times New Roman" w:hAnsi="Times New Roman"/>
                <w:szCs w:val="32"/>
                <w:lang w:eastAsia="zh-CN"/>
              </w:rPr>
            </w:pPr>
            <w:bookmarkStart w:id="3" w:name="pf_zw"/>
            <w:r>
              <w:rPr>
                <w:rFonts w:hint="eastAsia" w:ascii="Times New Roman" w:hAnsi="Times New Roman"/>
                <w:szCs w:val="32"/>
                <w:lang w:eastAsia="zh-CN"/>
              </w:rPr>
              <w:t>你公司公司报送的《公司整体搬迁（改造）项目环境影响报告表》（以下简称报告表）收悉，经研究，现批复如下：</w:t>
            </w:r>
          </w:p>
          <w:p w14:paraId="6A999592">
            <w:pPr>
              <w:pStyle w:val="6"/>
              <w:tabs>
                <w:tab w:val="left" w:pos="425"/>
              </w:tabs>
              <w:adjustRightInd w:val="0"/>
              <w:snapToGrid w:val="0"/>
              <w:spacing w:line="600" w:lineRule="exact"/>
              <w:jc w:val="left"/>
              <w:rPr>
                <w:rFonts w:hint="eastAsia" w:ascii="Times New Roman" w:hAnsi="Times New Roman"/>
                <w:szCs w:val="32"/>
                <w:lang w:eastAsia="zh-CN"/>
              </w:rPr>
            </w:pPr>
            <w:r>
              <w:rPr>
                <w:rFonts w:hint="eastAsia" w:ascii="Times New Roman" w:hAnsi="Times New Roman"/>
                <w:szCs w:val="32"/>
                <w:lang w:eastAsia="zh-CN"/>
              </w:rPr>
              <w:t>一、项目基本情况</w:t>
            </w:r>
          </w:p>
          <w:p w14:paraId="0FEDFD00">
            <w:pPr>
              <w:pStyle w:val="6"/>
              <w:tabs>
                <w:tab w:val="left" w:pos="425"/>
              </w:tabs>
              <w:adjustRightInd w:val="0"/>
              <w:snapToGrid w:val="0"/>
              <w:spacing w:line="600" w:lineRule="exact"/>
              <w:jc w:val="left"/>
              <w:rPr>
                <w:rFonts w:hint="eastAsia" w:ascii="Times New Roman" w:hAnsi="Times New Roman"/>
                <w:szCs w:val="32"/>
                <w:lang w:eastAsia="zh-CN"/>
              </w:rPr>
            </w:pPr>
            <w:r>
              <w:rPr>
                <w:rFonts w:hint="eastAsia" w:ascii="Times New Roman" w:hAnsi="Times New Roman"/>
                <w:szCs w:val="32"/>
                <w:lang w:eastAsia="zh-CN"/>
              </w:rPr>
              <w:t>项目位于苏州市吴江区黎里镇新阳路1025号，建设内容为公司整体搬迁（改造）项目。</w:t>
            </w:r>
          </w:p>
          <w:p w14:paraId="6F046359">
            <w:pPr>
              <w:pStyle w:val="6"/>
              <w:tabs>
                <w:tab w:val="left" w:pos="425"/>
              </w:tabs>
              <w:adjustRightInd w:val="0"/>
              <w:snapToGrid w:val="0"/>
              <w:spacing w:line="600" w:lineRule="exact"/>
              <w:jc w:val="left"/>
              <w:rPr>
                <w:rFonts w:hint="eastAsia" w:ascii="Times New Roman" w:hAnsi="Times New Roman"/>
                <w:szCs w:val="32"/>
                <w:lang w:eastAsia="zh-CN"/>
              </w:rPr>
            </w:pPr>
            <w:r>
              <w:rPr>
                <w:rFonts w:hint="eastAsia" w:ascii="Times New Roman" w:hAnsi="Times New Roman"/>
                <w:szCs w:val="32"/>
                <w:lang w:eastAsia="zh-CN"/>
              </w:rPr>
              <w:t>二、根据你公司委托苏州恒为环境科技有限公司（编制主持人：许志忠，职业资格证书管理号：20220503532000000054）编制的《公司整体搬迁（改造）项目环境影响报告表》结论，该项目的实施将对生态环境造成一定影响，在切实落实各项污染防治、环境风险防范措施，确保各类污染物稳定达标排放的前提下，从</w:t>
            </w:r>
            <w:bookmarkStart w:id="9" w:name="_GoBack"/>
            <w:bookmarkEnd w:id="9"/>
            <w:r>
              <w:rPr>
                <w:rFonts w:hint="eastAsia" w:ascii="Times New Roman" w:hAnsi="Times New Roman"/>
                <w:szCs w:val="32"/>
                <w:lang w:eastAsia="zh-CN"/>
              </w:rPr>
              <w:t xml:space="preserve">生态环境保护角度分析，该项目建设对环境的不利影响可得到缓解和控制。我局原则同意《报告表》的环境影响评价总体结论和拟采取的生态环境保护措施。 </w:t>
            </w:r>
          </w:p>
          <w:p w14:paraId="5D7F217A">
            <w:pPr>
              <w:pStyle w:val="6"/>
              <w:tabs>
                <w:tab w:val="left" w:pos="425"/>
              </w:tabs>
              <w:adjustRightInd w:val="0"/>
              <w:snapToGrid w:val="0"/>
              <w:spacing w:line="600" w:lineRule="exact"/>
              <w:jc w:val="left"/>
              <w:rPr>
                <w:rFonts w:hint="eastAsia" w:ascii="Times New Roman" w:hAnsi="Times New Roman"/>
                <w:szCs w:val="32"/>
                <w:lang w:eastAsia="zh-CN"/>
              </w:rPr>
            </w:pPr>
            <w:r>
              <w:rPr>
                <w:rFonts w:hint="eastAsia" w:ascii="Times New Roman" w:hAnsi="Times New Roman"/>
                <w:szCs w:val="32"/>
                <w:lang w:eastAsia="zh-CN"/>
              </w:rPr>
              <w:t>三、该项目建设必须严格执行环境保护设施与主体工程同时设计、同时施工、同时投产的“三同时”制度。在项目工程设计、建设和环境管理中，你公司须落实《报告表》中提出的各项生态环境保护要求，确保各类污染物达标排放，并应着重做好以下工作：</w:t>
            </w:r>
          </w:p>
          <w:p w14:paraId="3E379EF2">
            <w:pPr>
              <w:pStyle w:val="6"/>
              <w:tabs>
                <w:tab w:val="left" w:pos="425"/>
              </w:tabs>
              <w:adjustRightInd w:val="0"/>
              <w:snapToGrid w:val="0"/>
              <w:spacing w:line="600" w:lineRule="exact"/>
              <w:jc w:val="left"/>
              <w:rPr>
                <w:rFonts w:hint="eastAsia" w:ascii="Times New Roman" w:hAnsi="Times New Roman"/>
                <w:szCs w:val="32"/>
                <w:lang w:eastAsia="zh-CN"/>
              </w:rPr>
            </w:pPr>
            <w:r>
              <w:rPr>
                <w:rFonts w:hint="eastAsia" w:ascii="Times New Roman" w:hAnsi="Times New Roman"/>
                <w:szCs w:val="32"/>
                <w:lang w:eastAsia="zh-CN"/>
              </w:rPr>
              <w:t>1.厂区应实行“清污分流、雨污分流”。项目生活污水经市政污水管网排入苏州汾湖水务发展有限公司(黎里工业再生水厂)处理，尾水达标排放。</w:t>
            </w:r>
          </w:p>
          <w:p w14:paraId="1F0CECFB">
            <w:pPr>
              <w:pStyle w:val="6"/>
              <w:tabs>
                <w:tab w:val="left" w:pos="425"/>
              </w:tabs>
              <w:adjustRightInd w:val="0"/>
              <w:snapToGrid w:val="0"/>
              <w:spacing w:line="600" w:lineRule="exact"/>
              <w:jc w:val="left"/>
              <w:rPr>
                <w:rFonts w:hint="eastAsia" w:ascii="Times New Roman" w:hAnsi="Times New Roman"/>
                <w:szCs w:val="32"/>
                <w:lang w:eastAsia="zh-CN"/>
              </w:rPr>
            </w:pPr>
            <w:r>
              <w:rPr>
                <w:rFonts w:hint="eastAsia" w:ascii="Times New Roman" w:hAnsi="Times New Roman"/>
                <w:szCs w:val="32"/>
                <w:lang w:eastAsia="zh-CN"/>
              </w:rPr>
              <w:t>2.本项目产生的废气须收集处理后排放，按环评要求设置排气筒高度，其中非甲烷总烃排放执行《大气污染物综合排放标准》（DB32/4041-2021）相关标准。加强对无组织排放源的管理，规范生产操作，减少废气无组织排放。</w:t>
            </w:r>
          </w:p>
          <w:p w14:paraId="5FB0DA96">
            <w:pPr>
              <w:pStyle w:val="6"/>
              <w:tabs>
                <w:tab w:val="left" w:pos="425"/>
              </w:tabs>
              <w:adjustRightInd w:val="0"/>
              <w:snapToGrid w:val="0"/>
              <w:spacing w:line="600" w:lineRule="exact"/>
              <w:jc w:val="left"/>
              <w:rPr>
                <w:rFonts w:hint="eastAsia" w:ascii="Times New Roman" w:hAnsi="Times New Roman"/>
                <w:szCs w:val="32"/>
                <w:lang w:eastAsia="zh-CN"/>
              </w:rPr>
            </w:pPr>
            <w:r>
              <w:rPr>
                <w:rFonts w:hint="eastAsia" w:ascii="Times New Roman" w:hAnsi="Times New Roman"/>
                <w:szCs w:val="32"/>
                <w:lang w:eastAsia="zh-CN"/>
              </w:rPr>
              <w:t>3.本项目须选用低噪声设备，对噪声源须采取有效的减振、隔声等降噪措施并合理布局，使厂界噪声执行《工业企业厂界环境噪声排放标准》（GB12348-2008）中2类标准。</w:t>
            </w:r>
          </w:p>
          <w:p w14:paraId="2985B44F">
            <w:pPr>
              <w:pStyle w:val="6"/>
              <w:tabs>
                <w:tab w:val="left" w:pos="425"/>
              </w:tabs>
              <w:adjustRightInd w:val="0"/>
              <w:snapToGrid w:val="0"/>
              <w:spacing w:line="600" w:lineRule="exact"/>
              <w:jc w:val="left"/>
              <w:rPr>
                <w:rFonts w:hint="eastAsia" w:ascii="Times New Roman" w:hAnsi="Times New Roman"/>
                <w:szCs w:val="32"/>
                <w:lang w:eastAsia="zh-CN"/>
              </w:rPr>
            </w:pPr>
            <w:r>
              <w:rPr>
                <w:rFonts w:hint="eastAsia" w:ascii="Times New Roman" w:hAnsi="Times New Roman"/>
                <w:szCs w:val="32"/>
                <w:lang w:eastAsia="zh-CN"/>
              </w:rPr>
              <w:t>4.按“减量化、资源化、无害化”的处置原则，落实各类固体废物特别是危险废物的收集、处置和综合利用措施，危险废物必须委托有资质单位安全处置。厂内危险废物暂存场所应符合《危险废物贮存污染控制标准》（GB18597－2023）要求，确保不对周围环境和地下水造成影响。</w:t>
            </w:r>
          </w:p>
          <w:p w14:paraId="3CE77D6D">
            <w:pPr>
              <w:pStyle w:val="6"/>
              <w:tabs>
                <w:tab w:val="left" w:pos="425"/>
              </w:tabs>
              <w:adjustRightInd w:val="0"/>
              <w:snapToGrid w:val="0"/>
              <w:spacing w:line="600" w:lineRule="exact"/>
              <w:jc w:val="left"/>
              <w:rPr>
                <w:rFonts w:hint="eastAsia" w:ascii="Times New Roman" w:hAnsi="Times New Roman"/>
                <w:szCs w:val="32"/>
                <w:lang w:eastAsia="zh-CN"/>
              </w:rPr>
            </w:pPr>
            <w:r>
              <w:rPr>
                <w:rFonts w:hint="eastAsia" w:ascii="Times New Roman" w:hAnsi="Times New Roman"/>
                <w:szCs w:val="32"/>
                <w:lang w:eastAsia="zh-CN"/>
              </w:rPr>
              <w:t>5.你公司在项目设计、施工建设和生产中总平面布局以及主要工艺设备、储运设施、公辅工程、污染防治设施安装、使用中涉及安全生产的应遵守设计使用规范和相关主管部门要求；应对各类环境治理设施开展安全风险辨识管控，健全内部污染防治设施稳定运行和管理责任制度，严格依据标准规范建设环境治理设施，确保环境治理设施安全、稳定、有效运行。</w:t>
            </w:r>
          </w:p>
          <w:p w14:paraId="2F217A7B">
            <w:pPr>
              <w:pStyle w:val="6"/>
              <w:tabs>
                <w:tab w:val="left" w:pos="425"/>
              </w:tabs>
              <w:adjustRightInd w:val="0"/>
              <w:snapToGrid w:val="0"/>
              <w:spacing w:line="600" w:lineRule="exact"/>
              <w:jc w:val="left"/>
              <w:rPr>
                <w:rFonts w:hint="eastAsia" w:ascii="Times New Roman" w:hAnsi="Times New Roman"/>
                <w:szCs w:val="32"/>
                <w:lang w:eastAsia="zh-CN"/>
              </w:rPr>
            </w:pPr>
            <w:r>
              <w:rPr>
                <w:rFonts w:hint="eastAsia" w:ascii="Times New Roman" w:hAnsi="Times New Roman"/>
                <w:szCs w:val="32"/>
                <w:lang w:eastAsia="zh-CN"/>
              </w:rPr>
              <w:t>6.按《江苏省排污口设置及规范化整治管理办法》（苏环控『1997』122号）的规定规范设置各类排污口及标识。</w:t>
            </w:r>
          </w:p>
          <w:p w14:paraId="5FB06B54">
            <w:pPr>
              <w:pStyle w:val="6"/>
              <w:tabs>
                <w:tab w:val="left" w:pos="425"/>
              </w:tabs>
              <w:adjustRightInd w:val="0"/>
              <w:snapToGrid w:val="0"/>
              <w:spacing w:line="600" w:lineRule="exact"/>
              <w:jc w:val="left"/>
              <w:rPr>
                <w:rFonts w:hint="eastAsia" w:ascii="Times New Roman" w:hAnsi="Times New Roman"/>
                <w:szCs w:val="32"/>
                <w:lang w:eastAsia="zh-CN"/>
              </w:rPr>
            </w:pPr>
            <w:r>
              <w:rPr>
                <w:rFonts w:hint="eastAsia" w:ascii="Times New Roman" w:hAnsi="Times New Roman"/>
                <w:szCs w:val="32"/>
                <w:lang w:eastAsia="zh-CN"/>
              </w:rPr>
              <w:t>7.按报告表要求制定自行监测方案，并规范开展监测活动。</w:t>
            </w:r>
          </w:p>
          <w:p w14:paraId="79DEE078">
            <w:pPr>
              <w:pStyle w:val="6"/>
              <w:tabs>
                <w:tab w:val="left" w:pos="425"/>
              </w:tabs>
              <w:adjustRightInd w:val="0"/>
              <w:snapToGrid w:val="0"/>
              <w:spacing w:line="600" w:lineRule="exact"/>
              <w:jc w:val="left"/>
              <w:rPr>
                <w:rFonts w:hint="eastAsia" w:ascii="Times New Roman" w:hAnsi="Times New Roman"/>
                <w:szCs w:val="32"/>
                <w:lang w:eastAsia="zh-CN"/>
              </w:rPr>
            </w:pPr>
            <w:r>
              <w:rPr>
                <w:rFonts w:hint="eastAsia" w:ascii="Times New Roman" w:hAnsi="Times New Roman"/>
                <w:szCs w:val="32"/>
                <w:lang w:eastAsia="zh-CN"/>
              </w:rPr>
              <w:t>8.请做好其他有关污染防治工作。</w:t>
            </w:r>
          </w:p>
          <w:p w14:paraId="73E6B0BA">
            <w:pPr>
              <w:pStyle w:val="6"/>
              <w:tabs>
                <w:tab w:val="left" w:pos="425"/>
              </w:tabs>
              <w:adjustRightInd w:val="0"/>
              <w:snapToGrid w:val="0"/>
              <w:spacing w:line="600" w:lineRule="exact"/>
              <w:jc w:val="left"/>
              <w:rPr>
                <w:rFonts w:hint="eastAsia" w:ascii="Times New Roman" w:hAnsi="Times New Roman"/>
                <w:szCs w:val="32"/>
                <w:lang w:eastAsia="zh-CN"/>
              </w:rPr>
            </w:pPr>
            <w:r>
              <w:rPr>
                <w:rFonts w:hint="eastAsia" w:ascii="Times New Roman" w:hAnsi="Times New Roman"/>
                <w:szCs w:val="32"/>
                <w:lang w:eastAsia="zh-CN"/>
              </w:rPr>
              <w:t>四、本项目实施后，污染物年排放量初步核定为：生活污水污染物(接管考核量）：废水量≤480吨、COD≤0.17吨、SS≤0.11吨、氨氮≤0.01吨、总磷≤0.002吨、总氮≤0.02吨。大气污染物：有组织非甲烷总烃≤0.013吨；无组织非甲烷总烃≤0.014吨、颗粒物≤0.0268吨。</w:t>
            </w:r>
          </w:p>
          <w:p w14:paraId="421983A4">
            <w:pPr>
              <w:pStyle w:val="6"/>
              <w:tabs>
                <w:tab w:val="left" w:pos="425"/>
              </w:tabs>
              <w:adjustRightInd w:val="0"/>
              <w:snapToGrid w:val="0"/>
              <w:spacing w:line="600" w:lineRule="exact"/>
              <w:jc w:val="left"/>
              <w:rPr>
                <w:rFonts w:hint="eastAsia" w:ascii="Times New Roman" w:hAnsi="Times New Roman"/>
                <w:szCs w:val="32"/>
                <w:lang w:eastAsia="zh-CN"/>
              </w:rPr>
            </w:pPr>
            <w:r>
              <w:rPr>
                <w:rFonts w:hint="eastAsia" w:ascii="Times New Roman" w:hAnsi="Times New Roman"/>
                <w:szCs w:val="32"/>
                <w:lang w:eastAsia="zh-CN"/>
              </w:rPr>
              <w:t>五、严格落实生态环境保护主体责任，你公司应当对《报告表》的内容和结论负责。</w:t>
            </w:r>
          </w:p>
          <w:p w14:paraId="577B6C09">
            <w:pPr>
              <w:pStyle w:val="6"/>
              <w:tabs>
                <w:tab w:val="left" w:pos="425"/>
              </w:tabs>
              <w:adjustRightInd w:val="0"/>
              <w:snapToGrid w:val="0"/>
              <w:spacing w:line="600" w:lineRule="exact"/>
              <w:jc w:val="left"/>
              <w:rPr>
                <w:rFonts w:hint="eastAsia" w:ascii="Times New Roman" w:hAnsi="Times New Roman"/>
                <w:szCs w:val="32"/>
                <w:lang w:eastAsia="zh-CN"/>
              </w:rPr>
            </w:pPr>
            <w:r>
              <w:rPr>
                <w:rFonts w:hint="eastAsia" w:ascii="Times New Roman" w:hAnsi="Times New Roman"/>
                <w:szCs w:val="32"/>
                <w:lang w:eastAsia="zh-CN"/>
              </w:rPr>
              <w:t>六、你公司应当依照《排污许可管理条例》规定，及时申请排污许可证；未取得排污许可证的，不得排放污染物。按照《建设项目竣工环境保护验收暂行办法》办理环保设施竣工验收手续。需要配套建设的环境保护设施未建成、未经验收或者经验收不合格，建设项目已投入生产或者使用的，生态环境部门将依法进行查处。</w:t>
            </w:r>
          </w:p>
          <w:p w14:paraId="5C82736C">
            <w:pPr>
              <w:pStyle w:val="6"/>
              <w:tabs>
                <w:tab w:val="left" w:pos="425"/>
              </w:tabs>
              <w:adjustRightInd w:val="0"/>
              <w:snapToGrid w:val="0"/>
              <w:spacing w:line="600" w:lineRule="exact"/>
              <w:jc w:val="left"/>
              <w:rPr>
                <w:rFonts w:hint="eastAsia" w:ascii="Times New Roman" w:hAnsi="Times New Roman"/>
                <w:szCs w:val="32"/>
                <w:lang w:eastAsia="zh-CN"/>
              </w:rPr>
            </w:pPr>
            <w:r>
              <w:rPr>
                <w:rFonts w:hint="eastAsia" w:ascii="Times New Roman" w:hAnsi="Times New Roman"/>
                <w:szCs w:val="32"/>
                <w:lang w:eastAsia="zh-CN"/>
              </w:rPr>
              <w:t>七、苏州市吴江生态环境综合行政执法局组织开展该工程的“三同时”监督检查和日常监督管理工作。</w:t>
            </w:r>
          </w:p>
          <w:p w14:paraId="5545DC62">
            <w:pPr>
              <w:pStyle w:val="6"/>
              <w:tabs>
                <w:tab w:val="left" w:pos="425"/>
              </w:tabs>
              <w:adjustRightInd w:val="0"/>
              <w:snapToGrid w:val="0"/>
              <w:spacing w:line="600" w:lineRule="exact"/>
              <w:jc w:val="left"/>
              <w:rPr>
                <w:rFonts w:hint="eastAsia" w:ascii="Times New Roman" w:hAnsi="Times New Roman"/>
                <w:szCs w:val="32"/>
                <w:lang w:eastAsia="zh-CN"/>
              </w:rPr>
            </w:pPr>
            <w:r>
              <w:rPr>
                <w:rFonts w:hint="eastAsia" w:ascii="Times New Roman" w:hAnsi="Times New Roman"/>
                <w:szCs w:val="32"/>
                <w:lang w:eastAsia="zh-CN"/>
              </w:rPr>
              <w:t>八、建设单位是该建设项目环境信息公开的主体，须自收到我局批复后及时将该项目报告表的最终版本予以公开。同时应按照《建设项目环境影响评价信息公开机制方案》（环发〔2015〕162号）做好建设项目开工前、施工期和建成后的信息公开工作。</w:t>
            </w:r>
          </w:p>
          <w:p w14:paraId="069EC972">
            <w:pPr>
              <w:pStyle w:val="6"/>
              <w:tabs>
                <w:tab w:val="left" w:pos="425"/>
              </w:tabs>
              <w:adjustRightInd w:val="0"/>
              <w:snapToGrid w:val="0"/>
              <w:spacing w:line="600" w:lineRule="exact"/>
              <w:jc w:val="left"/>
              <w:rPr>
                <w:rFonts w:hint="eastAsia" w:ascii="Times New Roman" w:hAnsi="Times New Roman"/>
                <w:szCs w:val="32"/>
                <w:lang w:eastAsia="zh-CN"/>
              </w:rPr>
            </w:pPr>
            <w:r>
              <w:rPr>
                <w:rFonts w:hint="eastAsia" w:ascii="Times New Roman" w:hAnsi="Times New Roman"/>
                <w:szCs w:val="32"/>
                <w:lang w:eastAsia="zh-CN"/>
              </w:rPr>
              <w:t>九、如该项目所涉及污染物排放标准发生变化，应执行最新的排放标准。</w:t>
            </w:r>
          </w:p>
          <w:p w14:paraId="4E048EDB">
            <w:pPr>
              <w:pStyle w:val="6"/>
              <w:tabs>
                <w:tab w:val="left" w:pos="425"/>
              </w:tabs>
              <w:adjustRightInd w:val="0"/>
              <w:snapToGrid w:val="0"/>
              <w:spacing w:line="600" w:lineRule="exact"/>
              <w:jc w:val="left"/>
              <w:rPr>
                <w:rFonts w:hint="eastAsia" w:ascii="Times New Roman" w:hAnsi="Times New Roman"/>
                <w:szCs w:val="32"/>
                <w:lang w:eastAsia="zh-CN"/>
              </w:rPr>
            </w:pPr>
            <w:r>
              <w:rPr>
                <w:rFonts w:hint="eastAsia" w:ascii="Times New Roman" w:hAnsi="Times New Roman"/>
                <w:szCs w:val="32"/>
                <w:lang w:eastAsia="zh-CN"/>
              </w:rPr>
              <w:t>十、该项目在建设过程中若项目的性质、规模、地点、采用的生产工艺或者防治污染、防止生态破坏的措施、设施发生重大变动的，应当重新报批项目的环境影响评价文件。自批准之日起，如超过5年方决定工程开工建设的，环境影响评价文件须报重新审核。</w:t>
            </w:r>
            <w:bookmarkEnd w:id="3"/>
          </w:p>
        </w:tc>
      </w:tr>
      <w:tr w14:paraId="612913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77" w:type="dxa"/>
            <w:shd w:val="clear" w:color="auto" w:fill="auto"/>
          </w:tcPr>
          <w:p w14:paraId="30EB52A3">
            <w:pPr>
              <w:pStyle w:val="6"/>
              <w:tabs>
                <w:tab w:val="left" w:pos="425"/>
              </w:tabs>
              <w:adjustRightInd w:val="0"/>
              <w:snapToGrid w:val="0"/>
              <w:spacing w:line="560" w:lineRule="exact"/>
              <w:ind w:firstLine="560"/>
              <w:jc w:val="left"/>
              <w:rPr>
                <w:sz w:val="28"/>
                <w:szCs w:val="28"/>
              </w:rPr>
            </w:pPr>
          </w:p>
          <w:p w14:paraId="4ECDF6FA">
            <w:pPr>
              <w:pStyle w:val="6"/>
              <w:tabs>
                <w:tab w:val="left" w:pos="425"/>
              </w:tabs>
              <w:adjustRightInd w:val="0"/>
              <w:snapToGrid w:val="0"/>
              <w:spacing w:line="560" w:lineRule="exact"/>
              <w:ind w:firstLine="560"/>
              <w:jc w:val="right"/>
              <w:rPr>
                <w:sz w:val="28"/>
                <w:szCs w:val="28"/>
              </w:rPr>
            </w:pPr>
          </w:p>
          <w:p w14:paraId="4E88C4C3">
            <w:pPr>
              <w:pStyle w:val="6"/>
              <w:tabs>
                <w:tab w:val="left" w:pos="425"/>
              </w:tabs>
              <w:wordWrap w:val="0"/>
              <w:adjustRightInd w:val="0"/>
              <w:snapToGrid w:val="0"/>
              <w:spacing w:line="560" w:lineRule="exact"/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Cs w:val="32"/>
              </w:rPr>
              <w:t>苏州市生态环境局</w:t>
            </w:r>
            <w:r>
              <w:rPr>
                <w:rFonts w:hint="eastAsia"/>
                <w:color w:val="FFFFFF"/>
                <w:szCs w:val="32"/>
              </w:rPr>
              <w:t>的的的的</w:t>
            </w:r>
          </w:p>
          <w:p w14:paraId="6FF154EA">
            <w:pPr>
              <w:pStyle w:val="6"/>
              <w:tabs>
                <w:tab w:val="left" w:pos="425"/>
              </w:tabs>
              <w:wordWrap w:val="0"/>
              <w:adjustRightInd w:val="0"/>
              <w:snapToGrid w:val="0"/>
              <w:spacing w:line="560" w:lineRule="exact"/>
              <w:ind w:right="160"/>
              <w:jc w:val="right"/>
              <w:rPr>
                <w:szCs w:val="32"/>
              </w:rPr>
            </w:pPr>
            <w:bookmarkStart w:id="4" w:name="pf_end"/>
            <w:r>
              <w:rPr>
                <w:rFonts w:hint="eastAsia"/>
                <w:szCs w:val="32"/>
                <w:lang w:eastAsia="zh-CN"/>
              </w:rPr>
              <w:t xml:space="preserve">  </w:t>
            </w:r>
            <w:bookmarkEnd w:id="4"/>
            <w:r>
              <w:rPr>
                <w:rFonts w:hint="eastAsia"/>
                <w:szCs w:val="32"/>
              </w:rPr>
              <w:t xml:space="preserve">   </w:t>
            </w:r>
            <w:bookmarkStart w:id="5" w:name="xmsp_sprq"/>
            <w:r>
              <w:rPr>
                <w:rFonts w:hint="eastAsia"/>
                <w:szCs w:val="32"/>
                <w:lang w:eastAsia="zh-CN"/>
              </w:rPr>
              <w:t>2026年7月20日</w:t>
            </w:r>
            <w:bookmarkEnd w:id="5"/>
            <w:r>
              <w:rPr>
                <w:rFonts w:hint="eastAsia"/>
                <w:szCs w:val="32"/>
              </w:rPr>
              <w:t xml:space="preserve">       </w:t>
            </w:r>
          </w:p>
          <w:p w14:paraId="18537A50">
            <w:pPr>
              <w:pStyle w:val="6"/>
              <w:tabs>
                <w:tab w:val="left" w:pos="425"/>
              </w:tabs>
              <w:wordWrap w:val="0"/>
              <w:adjustRightInd w:val="0"/>
              <w:snapToGrid w:val="0"/>
              <w:spacing w:line="560" w:lineRule="exact"/>
              <w:ind w:right="160"/>
              <w:jc w:val="right"/>
              <w:rPr>
                <w:szCs w:val="32"/>
              </w:rPr>
            </w:pPr>
          </w:p>
          <w:p w14:paraId="558818B7">
            <w:pPr>
              <w:pStyle w:val="6"/>
              <w:tabs>
                <w:tab w:val="left" w:pos="425"/>
              </w:tabs>
              <w:wordWrap w:val="0"/>
              <w:adjustRightInd w:val="0"/>
              <w:snapToGrid w:val="0"/>
              <w:spacing w:line="560" w:lineRule="exact"/>
              <w:ind w:right="160"/>
              <w:jc w:val="left"/>
              <w:rPr>
                <w:rFonts w:hint="eastAsia" w:eastAsia="仿宋_GB2312"/>
                <w:szCs w:val="32"/>
                <w:lang w:eastAsia="zh-CN"/>
              </w:rPr>
            </w:pPr>
            <w:r>
              <w:rPr>
                <w:rFonts w:hint="eastAsia"/>
                <w:szCs w:val="32"/>
              </w:rPr>
              <w:t>项目代码：</w:t>
            </w:r>
            <w:bookmarkStart w:id="6" w:name="xmdm"/>
            <w:r>
              <w:rPr>
                <w:rFonts w:hint="eastAsia"/>
                <w:szCs w:val="32"/>
                <w:lang w:eastAsia="zh-CN"/>
              </w:rPr>
              <w:t>2506-320573-89-02-514600</w:t>
            </w:r>
            <w:bookmarkEnd w:id="6"/>
          </w:p>
        </w:tc>
      </w:tr>
    </w:tbl>
    <w:p w14:paraId="7FDEDCDC">
      <w:pPr>
        <w:rPr>
          <w:rFonts w:ascii="仿宋_GB2312" w:hAnsi="宋体" w:eastAsia="仿宋_GB2312"/>
          <w:vanish/>
          <w:sz w:val="32"/>
        </w:rPr>
      </w:pPr>
    </w:p>
    <w:tbl>
      <w:tblPr>
        <w:tblStyle w:val="12"/>
        <w:tblpPr w:leftFromText="181" w:rightFromText="181" w:vertAnchor="page" w:horzAnchor="margin" w:tblpXSpec="center" w:tblpY="13251"/>
        <w:tblOverlap w:val="never"/>
        <w:tblW w:w="9180" w:type="dxa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8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"/>
        <w:gridCol w:w="4207"/>
        <w:gridCol w:w="4487"/>
        <w:gridCol w:w="236"/>
      </w:tblGrid>
      <w:tr w14:paraId="21DB957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250" w:type="dxa"/>
          </w:tcPr>
          <w:p w14:paraId="23CBD451"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8722" w:type="dxa"/>
            <w:gridSpan w:val="2"/>
          </w:tcPr>
          <w:p w14:paraId="5D9CEC95">
            <w:pPr>
              <w:tabs>
                <w:tab w:val="left" w:pos="2660"/>
              </w:tabs>
              <w:snapToGrid w:val="0"/>
              <w:spacing w:line="5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抄送：</w:t>
            </w:r>
            <w:bookmarkStart w:id="7" w:name="xmsp_chaosong"/>
            <w:r>
              <w:rPr>
                <w:rFonts w:hint="eastAsia" w:eastAsia="仿宋_GB2312"/>
                <w:sz w:val="28"/>
                <w:szCs w:val="28"/>
                <w:lang w:eastAsia="zh-CN"/>
              </w:rPr>
              <w:t>苏州市吴江生态环境局，苏州市生态环境综合行政执法局，苏州市固体废物管理中心,苏州市环境应急与事故调查中心。</w:t>
            </w:r>
            <w:bookmarkEnd w:id="7"/>
            <w:r>
              <w:rPr>
                <w:rFonts w:eastAsia="仿宋_GB2312"/>
                <w:sz w:val="28"/>
                <w:szCs w:val="28"/>
              </w:rPr>
              <w:t xml:space="preserve"> </w:t>
            </w:r>
          </w:p>
        </w:tc>
        <w:tc>
          <w:tcPr>
            <w:tcW w:w="236" w:type="dxa"/>
          </w:tcPr>
          <w:p w14:paraId="682D0311">
            <w:pPr>
              <w:spacing w:line="500" w:lineRule="exact"/>
              <w:ind w:left="119" w:firstLine="140" w:firstLineChars="50"/>
              <w:rPr>
                <w:sz w:val="28"/>
                <w:szCs w:val="28"/>
              </w:rPr>
            </w:pPr>
          </w:p>
        </w:tc>
      </w:tr>
      <w:tr w14:paraId="165FBD6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250" w:type="dxa"/>
          </w:tcPr>
          <w:p w14:paraId="0000E9F8">
            <w:pPr>
              <w:spacing w:line="500" w:lineRule="exact"/>
              <w:ind w:left="119" w:firstLine="140" w:firstLineChars="50"/>
              <w:rPr>
                <w:rFonts w:eastAsia="仿宋_GB2312" w:cs="仿宋_GB2312"/>
                <w:sz w:val="28"/>
                <w:szCs w:val="28"/>
              </w:rPr>
            </w:pPr>
          </w:p>
        </w:tc>
        <w:tc>
          <w:tcPr>
            <w:tcW w:w="4221" w:type="dxa"/>
          </w:tcPr>
          <w:p w14:paraId="3E1C815F">
            <w:pPr>
              <w:spacing w:line="5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苏州市生态环境局办公室</w:t>
            </w:r>
          </w:p>
        </w:tc>
        <w:tc>
          <w:tcPr>
            <w:tcW w:w="4501" w:type="dxa"/>
          </w:tcPr>
          <w:p w14:paraId="669BEEC8">
            <w:pPr>
              <w:spacing w:line="500" w:lineRule="exact"/>
              <w:ind w:left="119" w:firstLine="140" w:firstLineChars="50"/>
              <w:jc w:val="right"/>
              <w:rPr>
                <w:rFonts w:hint="eastAsia" w:eastAsia="仿宋_GB2312"/>
                <w:sz w:val="28"/>
                <w:szCs w:val="28"/>
                <w:lang w:eastAsia="zh-CN"/>
              </w:rPr>
            </w:pPr>
            <w:bookmarkStart w:id="8" w:name="dyrq"/>
            <w:r>
              <w:rPr>
                <w:rFonts w:hint="eastAsia" w:eastAsia="仿宋_GB2312"/>
                <w:sz w:val="28"/>
                <w:szCs w:val="28"/>
                <w:lang w:eastAsia="zh-CN"/>
              </w:rPr>
              <w:t>2026年7月20日印发</w:t>
            </w:r>
            <w:bookmarkEnd w:id="8"/>
          </w:p>
        </w:tc>
        <w:tc>
          <w:tcPr>
            <w:tcW w:w="236" w:type="dxa"/>
          </w:tcPr>
          <w:p w14:paraId="07244B0C">
            <w:pPr>
              <w:spacing w:line="500" w:lineRule="exact"/>
              <w:ind w:left="119" w:firstLine="140" w:firstLineChars="50"/>
              <w:rPr>
                <w:rFonts w:eastAsia="仿宋_GB2312" w:cs="仿宋_GB2312"/>
                <w:sz w:val="28"/>
                <w:szCs w:val="28"/>
              </w:rPr>
            </w:pPr>
          </w:p>
        </w:tc>
      </w:tr>
    </w:tbl>
    <w:p w14:paraId="71F24BDE">
      <w:pPr>
        <w:pStyle w:val="6"/>
        <w:tabs>
          <w:tab w:val="left" w:pos="425"/>
        </w:tabs>
        <w:adjustRightInd w:val="0"/>
        <w:snapToGrid w:val="0"/>
        <w:spacing w:line="560" w:lineRule="exact"/>
        <w:ind w:firstLine="0" w:firstLineChars="0"/>
        <w:jc w:val="left"/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985" w:right="1474" w:bottom="1985" w:left="1588" w:header="851" w:footer="1588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4FF8EB">
    <w:pPr>
      <w:pStyle w:val="8"/>
      <w:wordWrap w:val="0"/>
      <w:jc w:val="right"/>
    </w:pPr>
    <w:r>
      <w:rPr>
        <w:rStyle w:val="15"/>
        <w:rFonts w:hint="eastAsia"/>
        <w:sz w:val="28"/>
        <w:szCs w:val="28"/>
      </w:rPr>
      <w:t>－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1</w:t>
    </w:r>
    <w:r>
      <w:rPr>
        <w:sz w:val="28"/>
        <w:szCs w:val="28"/>
      </w:rPr>
      <w:fldChar w:fldCharType="end"/>
    </w:r>
    <w:r>
      <w:rPr>
        <w:rStyle w:val="15"/>
        <w:rFonts w:hint="eastAsia"/>
        <w:sz w:val="28"/>
        <w:szCs w:val="28"/>
      </w:rPr>
      <w:t xml:space="preserve">－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1B527A">
    <w:pPr>
      <w:pStyle w:val="8"/>
      <w:rPr>
        <w:rFonts w:ascii="宋体" w:hAnsi="宋体"/>
        <w:sz w:val="28"/>
        <w:szCs w:val="28"/>
      </w:rPr>
    </w:pPr>
    <w:r>
      <w:rPr>
        <w:rStyle w:val="15"/>
        <w:rFonts w:hint="eastAsia"/>
        <w:sz w:val="28"/>
        <w:szCs w:val="28"/>
      </w:rPr>
      <w:t>－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2</w:t>
    </w:r>
    <w:r>
      <w:rPr>
        <w:sz w:val="28"/>
        <w:szCs w:val="28"/>
      </w:rPr>
      <w:fldChar w:fldCharType="end"/>
    </w:r>
    <w:r>
      <w:rPr>
        <w:rStyle w:val="15"/>
        <w:rFonts w:hint="eastAsia"/>
        <w:sz w:val="28"/>
        <w:szCs w:val="28"/>
      </w:rPr>
      <w:t>－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1F85F0">
    <w:pPr>
      <w:pStyle w:val="8"/>
      <w:jc w:val="right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-</w:t>
    </w:r>
    <w:r>
      <w:rPr>
        <w:sz w:val="28"/>
        <w:szCs w:val="28"/>
      </w:rPr>
      <w:t xml:space="preserve"> 1 -</w:t>
    </w:r>
    <w:r>
      <w:rPr>
        <w:sz w:val="28"/>
        <w:szCs w:val="28"/>
      </w:rPr>
      <w:fldChar w:fldCharType="end"/>
    </w:r>
  </w:p>
  <w:p w14:paraId="5261F418">
    <w:pPr>
      <w:pStyle w:val="8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97DBA9">
    <w:pPr>
      <w:pStyle w:val="9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E85B00">
    <w:pPr>
      <w:pStyle w:val="9"/>
      <w:pBdr>
        <w:bottom w:val="none" w:color="auto" w:sz="0" w:space="0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657218">
    <w:pPr>
      <w:pStyle w:val="9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Y0ODU2YTBiNDdkMjkyNDU4ODQ5MGFhNDE5NjdiNTcifQ=="/>
    <w:docVar w:name="标题" w:val=" "/>
  </w:docVars>
  <w:rsids>
    <w:rsidRoot w:val="00172A27"/>
    <w:rsid w:val="00024020"/>
    <w:rsid w:val="00032DD6"/>
    <w:rsid w:val="00043C49"/>
    <w:rsid w:val="00043CDC"/>
    <w:rsid w:val="000504DD"/>
    <w:rsid w:val="0005213D"/>
    <w:rsid w:val="00071FB5"/>
    <w:rsid w:val="001332D9"/>
    <w:rsid w:val="00135E7E"/>
    <w:rsid w:val="00150134"/>
    <w:rsid w:val="00152B39"/>
    <w:rsid w:val="00161C3F"/>
    <w:rsid w:val="00164758"/>
    <w:rsid w:val="00166A4D"/>
    <w:rsid w:val="00172A27"/>
    <w:rsid w:val="001739F9"/>
    <w:rsid w:val="001E5EC3"/>
    <w:rsid w:val="001F0366"/>
    <w:rsid w:val="00214EDF"/>
    <w:rsid w:val="00235F18"/>
    <w:rsid w:val="00245D16"/>
    <w:rsid w:val="00285BB3"/>
    <w:rsid w:val="002C36E0"/>
    <w:rsid w:val="002C62B9"/>
    <w:rsid w:val="002D0A75"/>
    <w:rsid w:val="002E4379"/>
    <w:rsid w:val="002E535F"/>
    <w:rsid w:val="002E6166"/>
    <w:rsid w:val="002F5110"/>
    <w:rsid w:val="002F5911"/>
    <w:rsid w:val="00301F28"/>
    <w:rsid w:val="00321961"/>
    <w:rsid w:val="00333341"/>
    <w:rsid w:val="00354EF7"/>
    <w:rsid w:val="00366E6C"/>
    <w:rsid w:val="00394789"/>
    <w:rsid w:val="003A25CE"/>
    <w:rsid w:val="003A2C4D"/>
    <w:rsid w:val="003D1B6A"/>
    <w:rsid w:val="003E05FA"/>
    <w:rsid w:val="003E3452"/>
    <w:rsid w:val="004064F8"/>
    <w:rsid w:val="0041122F"/>
    <w:rsid w:val="00420F40"/>
    <w:rsid w:val="00441766"/>
    <w:rsid w:val="00487C03"/>
    <w:rsid w:val="0049149C"/>
    <w:rsid w:val="004A3229"/>
    <w:rsid w:val="004A4BBC"/>
    <w:rsid w:val="004A5094"/>
    <w:rsid w:val="004C4EAB"/>
    <w:rsid w:val="004F76E4"/>
    <w:rsid w:val="005211BA"/>
    <w:rsid w:val="005226EA"/>
    <w:rsid w:val="0055047B"/>
    <w:rsid w:val="00554197"/>
    <w:rsid w:val="005612C1"/>
    <w:rsid w:val="00575068"/>
    <w:rsid w:val="005B71E3"/>
    <w:rsid w:val="005D1B35"/>
    <w:rsid w:val="005D45A3"/>
    <w:rsid w:val="005E2C6C"/>
    <w:rsid w:val="005F2DD0"/>
    <w:rsid w:val="00601363"/>
    <w:rsid w:val="00604615"/>
    <w:rsid w:val="006240AE"/>
    <w:rsid w:val="00635940"/>
    <w:rsid w:val="0065492B"/>
    <w:rsid w:val="0066661B"/>
    <w:rsid w:val="00667FBE"/>
    <w:rsid w:val="00693C66"/>
    <w:rsid w:val="00697E3A"/>
    <w:rsid w:val="006A0CEE"/>
    <w:rsid w:val="006A1262"/>
    <w:rsid w:val="006E0C48"/>
    <w:rsid w:val="006F4644"/>
    <w:rsid w:val="00701628"/>
    <w:rsid w:val="00706311"/>
    <w:rsid w:val="00713C3D"/>
    <w:rsid w:val="00725022"/>
    <w:rsid w:val="0072705F"/>
    <w:rsid w:val="007502A1"/>
    <w:rsid w:val="00761B93"/>
    <w:rsid w:val="00780055"/>
    <w:rsid w:val="007969D1"/>
    <w:rsid w:val="007B2A1D"/>
    <w:rsid w:val="007C1FB8"/>
    <w:rsid w:val="007C4DD1"/>
    <w:rsid w:val="007C7959"/>
    <w:rsid w:val="007F141B"/>
    <w:rsid w:val="0082347C"/>
    <w:rsid w:val="0085094F"/>
    <w:rsid w:val="0085373F"/>
    <w:rsid w:val="0085521B"/>
    <w:rsid w:val="00857FD8"/>
    <w:rsid w:val="008750AC"/>
    <w:rsid w:val="00892C72"/>
    <w:rsid w:val="0089352D"/>
    <w:rsid w:val="00897259"/>
    <w:rsid w:val="008D401A"/>
    <w:rsid w:val="009330C4"/>
    <w:rsid w:val="009479AA"/>
    <w:rsid w:val="009664F4"/>
    <w:rsid w:val="00966706"/>
    <w:rsid w:val="00982A3B"/>
    <w:rsid w:val="00985D65"/>
    <w:rsid w:val="00986809"/>
    <w:rsid w:val="009B4750"/>
    <w:rsid w:val="009E4A7C"/>
    <w:rsid w:val="009E5C8C"/>
    <w:rsid w:val="00A231F6"/>
    <w:rsid w:val="00A45478"/>
    <w:rsid w:val="00A667BF"/>
    <w:rsid w:val="00A80E49"/>
    <w:rsid w:val="00A83655"/>
    <w:rsid w:val="00A97086"/>
    <w:rsid w:val="00A97E01"/>
    <w:rsid w:val="00AA751F"/>
    <w:rsid w:val="00AB3DD1"/>
    <w:rsid w:val="00AC2B1E"/>
    <w:rsid w:val="00AD062A"/>
    <w:rsid w:val="00AD38CA"/>
    <w:rsid w:val="00B00782"/>
    <w:rsid w:val="00B04659"/>
    <w:rsid w:val="00B10E51"/>
    <w:rsid w:val="00B25126"/>
    <w:rsid w:val="00B61950"/>
    <w:rsid w:val="00B76AF6"/>
    <w:rsid w:val="00B80672"/>
    <w:rsid w:val="00B81000"/>
    <w:rsid w:val="00B8193A"/>
    <w:rsid w:val="00B82317"/>
    <w:rsid w:val="00BA287C"/>
    <w:rsid w:val="00BA3809"/>
    <w:rsid w:val="00BA5304"/>
    <w:rsid w:val="00BC3B02"/>
    <w:rsid w:val="00BC7050"/>
    <w:rsid w:val="00BC72CB"/>
    <w:rsid w:val="00BE4C35"/>
    <w:rsid w:val="00C0032D"/>
    <w:rsid w:val="00C069DB"/>
    <w:rsid w:val="00C22A9F"/>
    <w:rsid w:val="00C32E6F"/>
    <w:rsid w:val="00C5281C"/>
    <w:rsid w:val="00C90F71"/>
    <w:rsid w:val="00CB4ACE"/>
    <w:rsid w:val="00D135F1"/>
    <w:rsid w:val="00D1727C"/>
    <w:rsid w:val="00D26F29"/>
    <w:rsid w:val="00D279A7"/>
    <w:rsid w:val="00D40249"/>
    <w:rsid w:val="00D42028"/>
    <w:rsid w:val="00D52421"/>
    <w:rsid w:val="00D56D73"/>
    <w:rsid w:val="00D87538"/>
    <w:rsid w:val="00D9058B"/>
    <w:rsid w:val="00DE63F4"/>
    <w:rsid w:val="00DF1D20"/>
    <w:rsid w:val="00DF3841"/>
    <w:rsid w:val="00E20CE3"/>
    <w:rsid w:val="00E34938"/>
    <w:rsid w:val="00E42613"/>
    <w:rsid w:val="00E56020"/>
    <w:rsid w:val="00E7473D"/>
    <w:rsid w:val="00E8211F"/>
    <w:rsid w:val="00EA2A88"/>
    <w:rsid w:val="00EB53DB"/>
    <w:rsid w:val="00F13C65"/>
    <w:rsid w:val="00F2502D"/>
    <w:rsid w:val="00F356BE"/>
    <w:rsid w:val="00F40E43"/>
    <w:rsid w:val="00F429A3"/>
    <w:rsid w:val="00F50EEB"/>
    <w:rsid w:val="00F55ACD"/>
    <w:rsid w:val="00F81B7A"/>
    <w:rsid w:val="00F8222F"/>
    <w:rsid w:val="00FC1926"/>
    <w:rsid w:val="00FD4ACF"/>
    <w:rsid w:val="00FD63F8"/>
    <w:rsid w:val="00FD64C9"/>
    <w:rsid w:val="00FE62E3"/>
    <w:rsid w:val="0DFA5B18"/>
    <w:rsid w:val="11F969CD"/>
    <w:rsid w:val="2E0065CE"/>
    <w:rsid w:val="2EAD4303"/>
    <w:rsid w:val="353D5303"/>
    <w:rsid w:val="4EB14C0F"/>
    <w:rsid w:val="51675DA1"/>
    <w:rsid w:val="61B105E8"/>
    <w:rsid w:val="6D0A0FD0"/>
    <w:rsid w:val="7E9D7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iPriority="99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2" w:lineRule="auto"/>
      <w:outlineLvl w:val="2"/>
    </w:pPr>
    <w:rPr>
      <w:b/>
      <w:bCs/>
      <w:sz w:val="32"/>
      <w:szCs w:val="32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2"/>
    <w:unhideWhenUsed/>
    <w:uiPriority w:val="99"/>
    <w:pPr>
      <w:jc w:val="left"/>
    </w:pPr>
  </w:style>
  <w:style w:type="paragraph" w:styleId="4">
    <w:name w:val="Body Text"/>
    <w:basedOn w:val="1"/>
    <w:link w:val="21"/>
    <w:uiPriority w:val="0"/>
    <w:rPr>
      <w:rFonts w:eastAsia="仿宋_GB2312"/>
      <w:sz w:val="32"/>
      <w:szCs w:val="20"/>
    </w:rPr>
  </w:style>
  <w:style w:type="paragraph" w:styleId="5">
    <w:name w:val="Date"/>
    <w:basedOn w:val="1"/>
    <w:next w:val="1"/>
    <w:uiPriority w:val="0"/>
    <w:pPr>
      <w:ind w:left="100" w:leftChars="2500"/>
    </w:pPr>
    <w:rPr>
      <w:rFonts w:eastAsia="仿宋_GB2312"/>
      <w:sz w:val="32"/>
    </w:rPr>
  </w:style>
  <w:style w:type="paragraph" w:styleId="6">
    <w:name w:val="Body Text Indent 2"/>
    <w:basedOn w:val="1"/>
    <w:uiPriority w:val="0"/>
    <w:pPr>
      <w:tabs>
        <w:tab w:val="left" w:pos="7020"/>
      </w:tabs>
      <w:spacing w:line="400" w:lineRule="exact"/>
      <w:ind w:firstLine="640" w:firstLineChars="200"/>
    </w:pPr>
    <w:rPr>
      <w:rFonts w:ascii="仿宋_GB2312" w:hAnsi="宋体" w:eastAsia="仿宋_GB2312"/>
      <w:sz w:val="32"/>
    </w:rPr>
  </w:style>
  <w:style w:type="paragraph" w:styleId="7">
    <w:name w:val="Balloon Text"/>
    <w:basedOn w:val="1"/>
    <w:uiPriority w:val="0"/>
    <w:rPr>
      <w:sz w:val="18"/>
      <w:szCs w:val="18"/>
    </w:rPr>
  </w:style>
  <w:style w:type="paragraph" w:styleId="8">
    <w:name w:val="footer"/>
    <w:basedOn w:val="1"/>
    <w:link w:val="2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Body Text Indent 3"/>
    <w:basedOn w:val="1"/>
    <w:qFormat/>
    <w:uiPriority w:val="0"/>
    <w:pPr>
      <w:spacing w:line="460" w:lineRule="exact"/>
      <w:ind w:firstLine="560" w:firstLineChars="200"/>
    </w:pPr>
    <w:rPr>
      <w:rFonts w:ascii="仿宋_GB2312" w:eastAsia="仿宋_GB2312"/>
      <w:sz w:val="28"/>
    </w:rPr>
  </w:style>
  <w:style w:type="paragraph" w:styleId="11">
    <w:name w:val="Body Text 2"/>
    <w:basedOn w:val="1"/>
    <w:qFormat/>
    <w:uiPriority w:val="0"/>
    <w:pPr>
      <w:spacing w:line="560" w:lineRule="exact"/>
      <w:jc w:val="center"/>
    </w:pPr>
    <w:rPr>
      <w:rFonts w:eastAsia="仿宋_GB2312"/>
      <w:sz w:val="32"/>
    </w:rPr>
  </w:style>
  <w:style w:type="table" w:styleId="13">
    <w:name w:val="Table Grid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page number"/>
    <w:basedOn w:val="14"/>
    <w:qFormat/>
    <w:uiPriority w:val="0"/>
  </w:style>
  <w:style w:type="character" w:styleId="16">
    <w:name w:val="annotation reference"/>
    <w:unhideWhenUsed/>
    <w:qFormat/>
    <w:uiPriority w:val="99"/>
    <w:rPr>
      <w:sz w:val="21"/>
      <w:szCs w:val="21"/>
    </w:rPr>
  </w:style>
  <w:style w:type="paragraph" w:customStyle="1" w:styleId="17">
    <w:name w:val="Char Char Char Char"/>
    <w:basedOn w:val="1"/>
    <w:qFormat/>
    <w:uiPriority w:val="0"/>
    <w:pPr>
      <w:tabs>
        <w:tab w:val="left" w:pos="4665"/>
        <w:tab w:val="left" w:pos="8970"/>
      </w:tabs>
      <w:ind w:firstLine="400"/>
    </w:pPr>
    <w:rPr>
      <w:rFonts w:ascii="Verdana" w:hAnsi="Verdana" w:eastAsia="仿宋_GB2312"/>
      <w:kern w:val="0"/>
      <w:sz w:val="24"/>
      <w:szCs w:val="32"/>
      <w:lang w:eastAsia="en-US"/>
    </w:rPr>
  </w:style>
  <w:style w:type="paragraph" w:customStyle="1" w:styleId="18">
    <w:name w:val="Char"/>
    <w:basedOn w:val="1"/>
    <w:qFormat/>
    <w:uiPriority w:val="0"/>
    <w:pPr>
      <w:widowControl/>
      <w:spacing w:after="160" w:line="240" w:lineRule="exact"/>
      <w:jc w:val="left"/>
    </w:pPr>
  </w:style>
  <w:style w:type="character" w:customStyle="1" w:styleId="19">
    <w:name w:val="页眉 字符"/>
    <w:link w:val="9"/>
    <w:qFormat/>
    <w:uiPriority w:val="99"/>
    <w:rPr>
      <w:kern w:val="2"/>
      <w:sz w:val="18"/>
      <w:szCs w:val="18"/>
    </w:rPr>
  </w:style>
  <w:style w:type="character" w:customStyle="1" w:styleId="20">
    <w:name w:val="页脚 字符"/>
    <w:link w:val="8"/>
    <w:uiPriority w:val="99"/>
    <w:rPr>
      <w:kern w:val="2"/>
      <w:sz w:val="18"/>
      <w:szCs w:val="18"/>
    </w:rPr>
  </w:style>
  <w:style w:type="character" w:customStyle="1" w:styleId="21">
    <w:name w:val="正文文本 字符"/>
    <w:link w:val="4"/>
    <w:uiPriority w:val="0"/>
    <w:rPr>
      <w:rFonts w:eastAsia="仿宋_GB2312"/>
      <w:kern w:val="2"/>
      <w:sz w:val="32"/>
    </w:rPr>
  </w:style>
  <w:style w:type="character" w:customStyle="1" w:styleId="22">
    <w:name w:val="批注文字 字符"/>
    <w:link w:val="3"/>
    <w:qFormat/>
    <w:uiPriority w:val="99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番茄花园</Company>
  <Pages>5</Pages>
  <Words>1744</Words>
  <Characters>1878</Characters>
  <Lines>1</Lines>
  <Paragraphs>1</Paragraphs>
  <TotalTime>23</TotalTime>
  <ScaleCrop>false</ScaleCrop>
  <LinksUpToDate>false</LinksUpToDate>
  <CharactersWithSpaces>1896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2019-07-29T09:47:00Z</dcterms:created>
  <dc:creator>刘访</dc:creator>
  <cp:lastModifiedBy>baoma</cp:lastModifiedBy>
  <cp:lastPrinted>2026-07-20T01:26:18Z</cp:lastPrinted>
  <dcterms:modified xsi:type="dcterms:W3CDTF">2026-07-20T01:44:38Z</dcterms:modified>
  <dc:title>北京市海淀区人民政府</dc:title>
  <cp:revision>112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BAE48EF36824452E9A1110F1858D9D0F_13</vt:lpwstr>
  </property>
  <property fmtid="{D5CDD505-2E9C-101B-9397-08002B2CF9AE}" pid="4" name="KSOTemplateDocerSaveRecord">
    <vt:lpwstr>eyJoZGlkIjoiYWJjYTk0NjJkZmNlYTRlZGVkOThjNGUyMGFhZTZlMTEiLCJ1c2VySWQiOiI2NzMzMjQ5NjUifQ==</vt:lpwstr>
  </property>
</Properties>
</file>