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3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44</w:t>
      </w:r>
      <w:r>
        <w:rPr>
          <w:rFonts w:hint="eastAsia" w:ascii="仿宋_GB2312"/>
          <w:szCs w:val="32"/>
        </w:rPr>
        <w:t>号</w:t>
      </w:r>
    </w:p>
    <w:p>
      <w:pPr>
        <w:pStyle w:val="3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3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关于松下新能源（苏州）有限公司</w:t>
      </w:r>
    </w:p>
    <w:p>
      <w:pPr>
        <w:pStyle w:val="3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年产1700万节锂离子电池技改项目</w:t>
      </w:r>
    </w:p>
    <w:p>
      <w:pPr>
        <w:pStyle w:val="3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环境影响报告表及专项的批复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松下新能源（苏州）有限公司：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bookmarkStart w:id="1" w:name="PO_zw"/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你公司报送的《松下新能源（苏州）有限公司年产1700万节锂离子电池技改项目环境影响报告表》及环境风险专项评价（以下简称报告表）收悉。经研究，现批复如下：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一、本项目位于苏州市吴中区胥口镇孙武路86号，利用现有自有厂房，总投资10000万元，拆除五期项目现有3条锂离子电池生产线（产能共计10800万节），新建1条年产1700万节新型锂离子电池生产线。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二、根据你公司委托苏州清泉环保科技有限公司（编制主持人：黄丹丹，信用编号：BH006902）编制的报告表结论和技术评估报告（苏英评估〔2026〕0516号），该项目的实施将对生态环境造成一定影响，在切实落实各项污染防治、环境风险防范工作，确保各类污染物稳定达标排放的前提下，从环保角度分析，该项目建设对环境的不利影响可得到缓解和控制。我局原则同意《报告表》的环境影响评价总体结论和拟采取的生态环境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1. 厂区内严格雨污分流；不新增员工生活污水，锂离子电池清洗废水、盐水处理废水依托现有锂离子电池废水处理系统（采用“pH调节+MBR+RO+离子交换处理+蒸发”工艺）处理后回用于纯水制备补水，不外排；纯水制备浓水依托现有公辅工程排水处理系统（采用“pH调节+絮凝沉淀+砂滤+ pH调节+MF+二级RO+碳滤”工艺）处理后，回用于循环冷却塔补水，冷却弃水再次回到公辅工程排水处理系统处理，不外排；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2. 本次对现有五期剩余1条生产线卷取废气进行技改，其与本次卷取工序均设为整体密闭，粉尘经密闭收集后通过袋式除尘器处理后排放；少量清洗废气无组织排放；具体考核指标：非甲烷总烃、颗粒物、镍及其化合物，执行《电池工业污染物综合排放标准》（GB30484-2013）表6标准；厂内无组织非甲烷总烃执行《挥发性有机物无组织排放控制标准》（GB37822-2019）表A.1标准；加强操作环节的环境管理，严格控制废气的无组织排放，厂界不得有异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3. 选用低噪声设备，合理布局厂区强噪声源，落实报告表提出的各项减振降噪措施；厂界噪声执行《工业企业厂界环境噪声排放标准》（GB12348-2008）3类标准；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4. 按照“减量化、资源化、无害化”原则，落实各类工业固体废物的分类收集处理处置和综合利用措施，实现固体废物“零排放”；废弃化学品包装桶、清洗废水处理系统脱水干污泥、公辅工程排水处理系统脱水干污泥、盐分、除尘器收集的粉尘、废滤袋等危险废物必须委托具备危险废物经营许可证的单位处理，并执行危险废物转移联单制度；危险废物暂存场所应符合《危险废物贮存污染控制标准》（GB18597-2023）的规定要求，一般固废、生活垃圾委托专业单位回收或处理，防止产生二次污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5. 制定应急预案，落实环境风险事故防范措施；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6. 你公司在设计、施工建设和生产中总平面布局以及主要工艺设备、储运设施、公辅工程、污染防治设施安装、使用中涉及安全生产的应遵守设计使用规范和相关主管部门要求；应对污水处理、粉尘治理等各类环境治理设施开展安全风险辨识管控，健全内部污染防治设施稳定运行和管理责任制度，严格依据标准规范建设环境治理设施，确保环境治理设施安全、稳定、有效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7. 按报告表提出的要求对运营期执行环境监测制度，按照《排污单位自行监测技术指南 总则》(HJ 819-2017)、《排污单位自行监测技术指南 电池工业》(HJ 1204-2021)等编制自行监测方案并开展监测工作，监测结果及相关资料备查。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四、根据区域总量平衡方案，本次污染物排放量在原有项目总量内平衡。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五、严格落实生态环境保护主体责任，你公司应当对《报告表》的内容和结论负责。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六、你公司应当依照《排污许可管理条例》规定，及时申请排污许可证；未取得排污许可证的，不得排放污染物。按照《关于进一步完善建设项目环境保护“三同时”及竣工环境保护自主验收监管工作机制的意见》（环执法〔2021〕70号）要求，加强对该项目环境保护“三同时”及自主验收监管。需要配套建设的环境保护设施未建成、未经验收或者经验收不合格，建设项目已投入生产或者使用的，生态环境部门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七、苏州市吴中生态环境综合行政执法局组织开展该工程的“三同时”监督检查和日常监督管理工作。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九、如该项目所涉及污染物排放标准发生变化，应执行最新的排放标准。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</w:t>
      </w:r>
      <w:r>
        <w:rPr>
          <w:rFonts w:hint="eastAsia" w:ascii="仿宋" w:hAnsi="仿宋" w:eastAsia="仿宋"/>
          <w:spacing w:val="-10"/>
          <w:sz w:val="32"/>
          <w:szCs w:val="32"/>
        </w:rPr>
        <w:t>核。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0" w:firstLineChars="2000"/>
        <w:jc w:val="both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苏州市生态环境局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（项目代码：2510-320506-89-02-322192）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tbl>
      <w:tblPr>
        <w:tblStyle w:val="11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胥口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18</w:t>
            </w:r>
            <w:bookmarkStart w:id="4" w:name="_GoBack"/>
            <w:bookmarkEnd w:id="4"/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sz w:val="28"/>
        <w:szCs w:val="28"/>
      </w:rPr>
    </w:pPr>
  </w:p>
  <w:p>
    <w:pPr>
      <w:pStyle w:val="7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369062B"/>
    <w:rsid w:val="037909AC"/>
    <w:rsid w:val="092B5F1E"/>
    <w:rsid w:val="09D44635"/>
    <w:rsid w:val="0E4E4E96"/>
    <w:rsid w:val="122D7B92"/>
    <w:rsid w:val="14B138C4"/>
    <w:rsid w:val="1F4357EF"/>
    <w:rsid w:val="22D249F3"/>
    <w:rsid w:val="299312B2"/>
    <w:rsid w:val="2DD504CC"/>
    <w:rsid w:val="2EE84F0A"/>
    <w:rsid w:val="336E54B0"/>
    <w:rsid w:val="3619023A"/>
    <w:rsid w:val="36674955"/>
    <w:rsid w:val="3FC47B32"/>
    <w:rsid w:val="437F7900"/>
    <w:rsid w:val="43FF4F3D"/>
    <w:rsid w:val="448307AC"/>
    <w:rsid w:val="45F21A36"/>
    <w:rsid w:val="4AC12E99"/>
    <w:rsid w:val="55726B2D"/>
    <w:rsid w:val="55FE4946"/>
    <w:rsid w:val="57DC0995"/>
    <w:rsid w:val="5C5949AD"/>
    <w:rsid w:val="633E1144"/>
    <w:rsid w:val="68657791"/>
    <w:rsid w:val="69776837"/>
    <w:rsid w:val="6CF14FE0"/>
    <w:rsid w:val="733969D5"/>
    <w:rsid w:val="750D4D36"/>
    <w:rsid w:val="7DF2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rPr>
      <w:rFonts w:eastAsia="仿宋_GB2312"/>
      <w:sz w:val="32"/>
      <w:szCs w:val="20"/>
    </w:r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link w:val="15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rPr>
      <w:sz w:val="24"/>
    </w:rPr>
  </w:style>
  <w:style w:type="paragraph" w:styleId="10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正文文本 Char"/>
    <w:basedOn w:val="12"/>
    <w:link w:val="3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5">
    <w:name w:val="正文文本缩进 2 Char"/>
    <w:basedOn w:val="12"/>
    <w:link w:val="5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6">
    <w:name w:val="页脚 Char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12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文字 Char"/>
    <w:basedOn w:val="12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</w:rPr>
  </w:style>
  <w:style w:type="character" w:customStyle="1" w:styleId="20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日期 Char"/>
    <w:basedOn w:val="12"/>
    <w:link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1192</Words>
  <Characters>1205</Characters>
  <Lines>66</Lines>
  <Paragraphs>47</Paragraphs>
  <TotalTime>0</TotalTime>
  <ScaleCrop>false</ScaleCrop>
  <LinksUpToDate>false</LinksUpToDate>
  <CharactersWithSpaces>2350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2026-06-18T06:37:28Z</cp:lastPrinted>
  <dcterms:modified xsi:type="dcterms:W3CDTF">2026-06-18T06:42:23Z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