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ED728">
      <w:pPr>
        <w:spacing w:line="580" w:lineRule="exact"/>
        <w:jc w:val="center"/>
      </w:pPr>
      <w:bookmarkStart w:id="0" w:name="OLE_LINK1"/>
    </w:p>
    <w:p w14:paraId="395052FE">
      <w:pPr>
        <w:spacing w:line="580" w:lineRule="exact"/>
        <w:jc w:val="center"/>
      </w:pPr>
    </w:p>
    <w:p w14:paraId="6B964630">
      <w:pPr>
        <w:spacing w:line="580" w:lineRule="exact"/>
        <w:jc w:val="center"/>
      </w:pPr>
    </w:p>
    <w:p w14:paraId="27C2A3B6">
      <w:pPr>
        <w:spacing w:line="580" w:lineRule="exact"/>
        <w:jc w:val="center"/>
      </w:pPr>
    </w:p>
    <w:p w14:paraId="0B38EE43">
      <w:pPr>
        <w:spacing w:line="580" w:lineRule="exact"/>
        <w:jc w:val="center"/>
      </w:pPr>
    </w:p>
    <w:p w14:paraId="194F1AC3">
      <w:pPr>
        <w:spacing w:line="580" w:lineRule="exact"/>
        <w:jc w:val="both"/>
      </w:pPr>
    </w:p>
    <w:p w14:paraId="01BFBABE">
      <w:pPr>
        <w:spacing w:line="5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苏环评审</w:t>
      </w:r>
      <w:r>
        <w:rPr>
          <w:rFonts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2A734B9">
      <w:pPr>
        <w:spacing w:line="580" w:lineRule="exact"/>
        <w:jc w:val="center"/>
        <w:rPr>
          <w:sz w:val="32"/>
          <w:szCs w:val="32"/>
        </w:rPr>
      </w:pPr>
    </w:p>
    <w:p w14:paraId="3135B413">
      <w:pPr>
        <w:spacing w:line="580" w:lineRule="exact"/>
        <w:jc w:val="center"/>
        <w:rPr>
          <w:sz w:val="32"/>
          <w:szCs w:val="32"/>
        </w:rPr>
      </w:pPr>
    </w:p>
    <w:p w14:paraId="2FCEFEC9">
      <w:pPr>
        <w:spacing w:line="540" w:lineRule="exact"/>
        <w:ind w:right="318"/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</w:t>
      </w:r>
      <w:r>
        <w:rPr>
          <w:rFonts w:hint="eastAsia" w:eastAsia="方正小标宋简体"/>
          <w:sz w:val="44"/>
          <w:szCs w:val="44"/>
        </w:rPr>
        <w:t>苏州市鸿瑞顺绝缘材料有限公司</w:t>
      </w:r>
    </w:p>
    <w:p w14:paraId="37DE686B">
      <w:pPr>
        <w:spacing w:line="540" w:lineRule="exact"/>
        <w:ind w:right="318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新建聚酰亚胺薄膜生产项目</w:t>
      </w:r>
    </w:p>
    <w:p w14:paraId="5F7D90B3">
      <w:pPr>
        <w:spacing w:line="540" w:lineRule="exact"/>
        <w:ind w:right="318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环境影响报告书</w:t>
      </w:r>
      <w:r>
        <w:rPr>
          <w:rFonts w:eastAsia="方正小标宋简体"/>
          <w:sz w:val="44"/>
          <w:szCs w:val="44"/>
        </w:rPr>
        <w:t>的批复</w:t>
      </w:r>
    </w:p>
    <w:bookmarkEnd w:id="0"/>
    <w:p w14:paraId="5DB88BC6">
      <w:pPr>
        <w:spacing w:line="540" w:lineRule="exact"/>
        <w:ind w:right="32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4553CC4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苏州市鸿瑞顺绝缘材料有限公司：</w:t>
      </w:r>
    </w:p>
    <w:p w14:paraId="4B66DE6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你公司报送的《</w:t>
      </w:r>
      <w:bookmarkStart w:id="1" w:name="OLE_LINK4"/>
      <w:bookmarkStart w:id="2" w:name="OLE_LINK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苏州市鸿瑞顺绝缘材料有限公司</w:t>
      </w:r>
      <w:bookmarkEnd w:id="1"/>
      <w:bookmarkEnd w:id="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新建聚酰亚胺薄膜生产项目环境影响报告书》（以下简称《报告书》）收悉。经研究，现批复如下：</w:t>
      </w:r>
    </w:p>
    <w:p w14:paraId="59BDFDC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一、项目基本情况：</w:t>
      </w:r>
      <w:bookmarkStart w:id="3" w:name="OLE_LINK13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建设地点：江苏省常熟市尚湖镇练塘大道91号；建设内容：租赁常熟市尚湖镇吉桥村村委会已建的标准厂房建筑面积5002.57m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，投资1500万元，项目建成后将形成年产聚酰亚胺薄膜产品700吨的生产能力。</w:t>
      </w:r>
    </w:p>
    <w:bookmarkEnd w:id="3"/>
    <w:p w14:paraId="06BC893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二、根据</w:t>
      </w:r>
      <w:bookmarkStart w:id="4" w:name="OLE_LINK153"/>
      <w:bookmarkStart w:id="5" w:name="OLE_LINK154"/>
      <w:bookmarkStart w:id="6" w:name="OLE_LINK3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你公司委托江苏中瑞咨询有限公司</w:t>
      </w:r>
      <w:bookmarkEnd w:id="4"/>
      <w:bookmarkEnd w:id="5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bookmarkStart w:id="7" w:name="OLE_LINK30"/>
      <w:bookmarkStart w:id="8" w:name="OLE_LINK2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统一社会信用代码</w:t>
      </w:r>
      <w:bookmarkEnd w:id="7"/>
      <w:bookmarkEnd w:id="8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：91320106748232194B）编制的《报告书》(编制主持人：丁在亮，职业资格证书管理号：2016035320352015320101000436）</w:t>
      </w:r>
      <w:bookmarkEnd w:id="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结论和技术评估报告（南培评估〔2025〕234号），该项目的实施将对生态环境造成一定影响，在切实落实各项污染防治、环境风险防范，确保各类污染物稳定达标排放的前提下，从生态环保角度分析，该项目建设对环境的不利影响可得到缓解和控制。我局原则同意《报告书》的环境影响评价总体结论和拟采取的生态环境保护措施。</w:t>
      </w:r>
    </w:p>
    <w:p w14:paraId="27E05E8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该项目建设必须严格执行环境保护设施与主体工程同时设计、同时施工、同时投产的“三同时”制度。在项目工程设计、建设和环境管理中，你公司须落实《报告书》中提出的各项生态环境保护要求，确保各类污染物达标排放。并应着重做好以下工作：</w:t>
      </w:r>
    </w:p>
    <w:p w14:paraId="796B423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9" w:name="OLE_LINK162"/>
      <w:bookmarkStart w:id="10" w:name="OLE_LINK16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按“雨污分流、清污分流”的原则建设厂区排水管网，本项目不得有生产废水排放；生活污水经厂内化粪池处理后接入常熟市污水处理厂（城西厂）集中处理达标后排放，接管水执行常熟市污水处理厂（城西厂）接管标准。</w:t>
      </w:r>
      <w:bookmarkEnd w:id="9"/>
      <w:bookmarkEnd w:id="10"/>
      <w:bookmarkStart w:id="11" w:name="OLE_LINK163"/>
    </w:p>
    <w:p w14:paraId="4B8C950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（二）本项目能源用电，不得设置燃煤炉（窑）；</w:t>
      </w:r>
    </w:p>
    <w:p w14:paraId="137628A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1.储罐大小呼吸废气、溶解、搅拌、静置消泡、流涎烘干、亚胺化烘烤工艺废气：经管道密闭收集通入“一级冷凝+三级水喷淋装置”处理后由20米高DA001排气筒排放；</w:t>
      </w:r>
    </w:p>
    <w:p w14:paraId="5F19EDF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2.调配、涂布、高温烘烤工艺废气：经密闭负压收集通过1套“换热器+除雾器+二级活性炭吸附装置”处理后由20米高DA002排气筒排放。</w:t>
      </w:r>
    </w:p>
    <w:p w14:paraId="008EDDF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上述未收集的废气呈无组织排放。</w:t>
      </w:r>
    </w:p>
    <w:p w14:paraId="23D6F58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废气排放标准：DA001排气筒非甲烷总烃、颗粒物、氨浓度有组织排放执行《合成树脂工业污染物排放标准》（GB31572-2015，含2024年修改单）表5排放限值，氨排放速率、臭气浓度有组织排放执行《恶臭污染物排放标准》（GB14554-93）表2排放限值。DA002排气筒非甲烷总烃有组织排放执行《工业涂装工序大气污染物排放标准》（DB32/4439-2022）表1排放限值，氟化物有组织排放执行《大气污染物综合排放标准》（DB32/4041-2021）表1排放限值，氨浓度有组织排放执行《合成树脂工业污染物排放标准》（GB31572-2015，含2024年修改单）表5排放限值，氨排放速率、臭气浓度有组织排放执行《恶臭污染物排放标准》（GB14554-93）表2排放限值。厂界非甲烷总烃、颗粒物、氟化物无组织排放执行《大气污染物综合排放标准》（DB32/4041-2021）表3排放限值，氨、臭气浓度无组织排放执行《恶臭污染物排放标准》（GB14554-93）表1排放限制。厂区内非甲烷总烃无组织排放执行《大气污染物综合排放标准》（DB32/4041-2021）表2排放限值。</w:t>
      </w:r>
      <w:bookmarkEnd w:id="11"/>
      <w:bookmarkStart w:id="12" w:name="OLE_LINK164"/>
    </w:p>
    <w:p w14:paraId="64DFEE6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（三）合理布局，选用低噪音设备，采取有效消声、隔声、防振措施，确保厂界噪声达《工业企业厂界环境噪声排放标准》</w:t>
      </w:r>
      <w:bookmarkStart w:id="13" w:name="OLE_LINK39"/>
      <w:bookmarkStart w:id="14" w:name="OLE_LINK38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（GB12348-2008）</w:t>
      </w:r>
      <w:bookmarkEnd w:id="13"/>
      <w:bookmarkEnd w:id="14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3类标准；施工期噪声执行《建筑施工噪声排放标准》（GB 12523-2025）要求。</w:t>
      </w:r>
      <w:bookmarkEnd w:id="12"/>
      <w:bookmarkStart w:id="15" w:name="OLE_LINK44"/>
      <w:bookmarkStart w:id="16" w:name="OLE_LINK43"/>
    </w:p>
    <w:p w14:paraId="1DBD762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按“减量化、资源化、无害化”原则落实各类固体废物的收集、处置和综合利用措施。固体废物在厂内的堆放、贮存、转移应符合《一般工业固体废物贮存和填埋污染控制标准》(GB18599-2020)、《危险废物贮存污染控制标准》(GB18597-2023)相关管理要求，防止产生二次污染，同时做好台账管理。</w:t>
      </w:r>
      <w:bookmarkEnd w:id="15"/>
      <w:bookmarkEnd w:id="1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废包装材料（沾染化学品的废包装桶、废包装袋）、含油抹布手套、废矿物油、废活性炭等各类危险废物应委托有资质单位处置，并执行危险废物转移联单制度。冷凝回收产生的二甲基乙酰胺废液拟进行危废鉴定，根据鉴定结果合理处置，在鉴定结果出来前，按照危废进行管理。妥善处置或综合利用其它各类一般工业</w:t>
      </w:r>
      <w:bookmarkStart w:id="17" w:name="OLE_LINK45"/>
      <w:bookmarkStart w:id="18" w:name="OLE_LINK47"/>
      <w:bookmarkStart w:id="19" w:name="OLE_LINK4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固体废</w:t>
      </w:r>
      <w:bookmarkEnd w:id="17"/>
      <w:bookmarkEnd w:id="18"/>
      <w:bookmarkEnd w:id="1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弃物，聚酰亚胺薄膜不合格品和废边角料等，委托有处置能力的单位处置。生活垃圾定点收集、存储，送环卫部门统一处理。</w:t>
      </w:r>
    </w:p>
    <w:p w14:paraId="3D2BD46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（五）落实《报告书》</w:t>
      </w:r>
      <w:bookmarkStart w:id="20" w:name="OLE_LINK171"/>
      <w:bookmarkStart w:id="21" w:name="OLE_LINK17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提出的以生产车间及储罐区的边界为起算点向外设置100米卫生防护距离</w:t>
      </w:r>
      <w:bookmarkEnd w:id="20"/>
      <w:bookmarkEnd w:id="2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要求，该范围内目前无居民住宅、学校、区院等环境敏感目标，以后亦不得建设居民住宅、学校、区院等环境敏感目标。</w:t>
      </w:r>
    </w:p>
    <w:p w14:paraId="1F7161C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（六）加强事故风险防范，制订全厂环境风险应急预案并完成备案，落实应急防范措施，设立一座153</w:t>
      </w:r>
      <w:bookmarkStart w:id="22" w:name="OLE_LINK5"/>
      <w:bookmarkStart w:id="23" w:name="OLE_LINK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3</w:t>
      </w:r>
      <w:bookmarkEnd w:id="22"/>
      <w:bookmarkEnd w:id="23"/>
      <w:bookmarkStart w:id="24" w:name="OLE_LINK25"/>
      <w:bookmarkStart w:id="25" w:name="OLE_LINK2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事故应急池</w:t>
      </w:r>
      <w:bookmarkEnd w:id="24"/>
      <w:bookmarkEnd w:id="25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，一座20m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地下初期雨水收集池，建立内外部应急联动机制并定期演练；</w:t>
      </w:r>
    </w:p>
    <w:p w14:paraId="31D8101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七）强化各项环境风险防范措施，有效防范环境风险。落实《报告书》提出的环境风险防范措施及突发环境事件应急预案编制要求，定期排查突发环境事件隐患，按要求配备环境应急设备和物资。建设单位应对污水处理、粉尘治理等各类环境治理设施开展安全风险辨识管控，健全内部污染防治设施稳定运行和管理责任制度，严格依据标准规范建设环境治理设施，确保环境治理设施安全、稳定、有效运行。采取切实可行的工程控制和管理措施，优化现有事故污染物收集系统，保证足够容量的事故废水收集能力，确保事故废水不进入外环境。</w:t>
      </w:r>
    </w:p>
    <w:p w14:paraId="398374D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（八）按《江苏省排污口设置及规范化整治管理办法》（苏环控</w:t>
      </w:r>
      <w:bookmarkStart w:id="26" w:name="OLE_LINK3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〔1997〕</w:t>
      </w:r>
      <w:bookmarkEnd w:id="2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122号）的要求设置与管理排污口，并按照相关文件规定在排污口附近醒目设置标志牌。废气排放口设置采样口和采样平台。</w:t>
      </w:r>
    </w:p>
    <w:p w14:paraId="5A6D731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（九）建设单位应按《报告书》所述的企业自行监测要求制定自行监测方案并按规范开展自行监测。</w:t>
      </w:r>
    </w:p>
    <w:p w14:paraId="5448769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（十）按照《太湖流域管理条例》要求，本项目不得在厂区内设置危险化学品仓库。</w:t>
      </w:r>
    </w:p>
    <w:p w14:paraId="3F6E406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四、该项目实施后，污染物年排放总量核定为：</w:t>
      </w:r>
    </w:p>
    <w:p w14:paraId="0097533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（一）水污染物：</w:t>
      </w:r>
    </w:p>
    <w:p w14:paraId="0C59A9B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本项目无生产废水排放。</w:t>
      </w:r>
    </w:p>
    <w:p w14:paraId="0DB5855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本项目生活污水</w:t>
      </w:r>
      <w:bookmarkStart w:id="27" w:name="OLE_LINK152"/>
      <w:bookmarkStart w:id="28" w:name="OLE_LINK15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（接管量/外排环境量）：废水量≤672/672吨，化学需氧量≤0.3024/0.0269吨，氨氮≤0.0269/0.0020吨，总氮≤0.0336/0.0067吨，总磷≤0.0027/0.0002吨；</w:t>
      </w:r>
      <w:bookmarkEnd w:id="27"/>
      <w:bookmarkEnd w:id="28"/>
    </w:p>
    <w:p w14:paraId="6397EE0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（二）大气污染物：</w:t>
      </w:r>
    </w:p>
    <w:p w14:paraId="333203B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本项目有组织废气：颗粒物≤0.784吨，挥发性有机物≤3.8689吨；</w:t>
      </w:r>
    </w:p>
    <w:p w14:paraId="233DE70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本项目无组织废气：颗粒物≤0.08吨，挥发性有机物≤5.1723吨。</w:t>
      </w:r>
    </w:p>
    <w:p w14:paraId="008142E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（三）固体废物：全部综合利用或规范处置。</w:t>
      </w:r>
    </w:p>
    <w:p w14:paraId="5907FE3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五、严格落实生态环境保护主体责任，你公司应当对《报告书》的内容和结论负责。</w:t>
      </w:r>
    </w:p>
    <w:p w14:paraId="0877FF4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六、你公司应当依照《排污许可管理条例》规定，依法申领排污许可证；未取得排污许可证的，不得排放污染物。按照《</w:t>
      </w:r>
      <w:bookmarkStart w:id="29" w:name="OLE_LINK3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建设项目竣工环境保护验收暂行办法</w:t>
      </w:r>
      <w:bookmarkEnd w:id="2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》办理环保设施竣工验收手续。需要配套建设的环境保护设施未建成、未经验收或者经验收不合格，建设项目已投入生产或者使用的，生态环境部门将依法进行查处。</w:t>
      </w:r>
    </w:p>
    <w:p w14:paraId="3FA29EC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七、苏州市常熟生态环境局组织开展该工程的“三同时”监督检查和日常监督管理工作，苏州市生态环境综合行政执法局负责不定期抽查。你公司应在收到本批复后20个工作日内，将批准后的《报告书》送到苏州市常熟生态环境局，并按规定接受各级生态环境部门的日常监督检查。</w:t>
      </w:r>
    </w:p>
    <w:p w14:paraId="1DE461E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八、如项目所涉及污染物排放标准发生变化，应执行最新的排放标准。</w:t>
      </w:r>
    </w:p>
    <w:p w14:paraId="2870496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九、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</w:r>
    </w:p>
    <w:p w14:paraId="78F2C57E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bookmarkStart w:id="31" w:name="_GoBack"/>
      <w:bookmarkEnd w:id="31"/>
    </w:p>
    <w:p w14:paraId="5B25A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苏州市生态环境局</w:t>
      </w:r>
    </w:p>
    <w:p w14:paraId="2C6250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4480" w:firstLineChars="1400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2BE926A1">
      <w:pPr>
        <w:pStyle w:val="11"/>
      </w:pPr>
    </w:p>
    <w:p w14:paraId="550E1EA3"/>
    <w:p w14:paraId="69CA625D"/>
    <w:p w14:paraId="43DD8978"/>
    <w:p w14:paraId="3A442E57"/>
    <w:p w14:paraId="2F4B7FC8"/>
    <w:p w14:paraId="4C1DE9B6"/>
    <w:p w14:paraId="43D12A69"/>
    <w:p w14:paraId="00C7CF72"/>
    <w:p w14:paraId="23B7864A"/>
    <w:p w14:paraId="7E2093AE"/>
    <w:p w14:paraId="1BD6E953"/>
    <w:p w14:paraId="3F4E9F2C"/>
    <w:p w14:paraId="46D9C329"/>
    <w:p w14:paraId="755F020C"/>
    <w:p w14:paraId="32B3AF26"/>
    <w:p w14:paraId="67FC0F41"/>
    <w:p w14:paraId="327BA60C"/>
    <w:p w14:paraId="1E9740AA"/>
    <w:p w14:paraId="1A4C6D4F"/>
    <w:p w14:paraId="0319C249"/>
    <w:p w14:paraId="5E704B30"/>
    <w:p w14:paraId="4EE9A6BA"/>
    <w:p w14:paraId="62C2E45E"/>
    <w:p w14:paraId="359A3ECD"/>
    <w:p w14:paraId="6A299A24"/>
    <w:p w14:paraId="722D5A1B"/>
    <w:p w14:paraId="03DB8D52"/>
    <w:p w14:paraId="597B24C2"/>
    <w:p w14:paraId="489A1EFC"/>
    <w:p w14:paraId="6F341DF2"/>
    <w:p w14:paraId="7EF4E087"/>
    <w:p w14:paraId="6D7E04B2"/>
    <w:p w14:paraId="778433B8"/>
    <w:p w14:paraId="36E3B868"/>
    <w:p w14:paraId="6DDE3DF2"/>
    <w:p w14:paraId="683C787D"/>
    <w:p w14:paraId="5183D668"/>
    <w:p w14:paraId="5B6D1BC7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（项目代码：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2402-320581-89-01-937964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 w14:paraId="194914A2">
      <w:pPr>
        <w:pBdr>
          <w:top w:val="single" w:color="auto" w:sz="8" w:space="1"/>
        </w:pBdr>
        <w:tabs>
          <w:tab w:val="center" w:pos="4422"/>
        </w:tabs>
        <w:snapToGrid w:val="0"/>
        <w:spacing w:line="500" w:lineRule="exact"/>
        <w:contextualSpacing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抄送：</w:t>
      </w:r>
      <w:bookmarkStart w:id="30" w:name="PO_chaosong"/>
      <w:r>
        <w:rPr>
          <w:rFonts w:hint="eastAsia" w:ascii="仿宋_GB2312" w:hAnsi="Times New Roman" w:eastAsia="仿宋_GB2312" w:cs="仿宋_GB2312"/>
          <w:sz w:val="28"/>
          <w:szCs w:val="28"/>
        </w:rPr>
        <w:t>苏州市生态环境综合行政执法局、</w:t>
      </w:r>
      <w:bookmarkEnd w:id="30"/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苏州市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常熟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生态环境局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 w14:paraId="7560731C">
      <w:pPr>
        <w:pBdr>
          <w:top w:val="single" w:color="auto" w:sz="8" w:space="1"/>
          <w:bottom w:val="single" w:color="auto" w:sz="8" w:space="1"/>
        </w:pBdr>
        <w:tabs>
          <w:tab w:val="center" w:pos="4422"/>
        </w:tabs>
        <w:spacing w:line="500" w:lineRule="exact"/>
        <w:rPr>
          <w:rFonts w:hint="eastAsia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苏州市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生态</w:t>
      </w:r>
      <w:r>
        <w:rPr>
          <w:rFonts w:ascii="Times New Roman" w:hAnsi="Times New Roman" w:eastAsia="仿宋_GB2312" w:cs="Times New Roman"/>
          <w:sz w:val="28"/>
          <w:szCs w:val="28"/>
        </w:rPr>
        <w:t>环境局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办公室       </w:t>
      </w:r>
      <w:r>
        <w:rPr>
          <w:rFonts w:hint="eastAsia" w:eastAsia="仿宋_GB2312" w:cs="Times New Roman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19</w:t>
      </w:r>
      <w:r>
        <w:rPr>
          <w:rFonts w:ascii="Times New Roman" w:hAnsi="Times New Roman" w:eastAsia="仿宋_GB2312" w:cs="Times New Roman"/>
          <w:sz w:val="28"/>
          <w:szCs w:val="28"/>
        </w:rPr>
        <w:t>日印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发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DD1B84-E7FC-4B8A-84F5-150B53BBDFC1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9A61BFB4-6D21-4D6D-8583-A28053F5CD73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10F15A13-EF06-4BB8-952C-57543C7C45E5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87AA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941951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941951"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NzQyZTE2MDVlMGY4MzM3NjU1OGI0M2Y4YWVhNjUifQ=="/>
    <w:docVar w:name="KSO_WPS_MARK_KEY" w:val="bf8b7f7c-a4a0-4ff5-a500-4bff7352f8f9"/>
  </w:docVars>
  <w:rsids>
    <w:rsidRoot w:val="0061692D"/>
    <w:rsid w:val="000A2AA8"/>
    <w:rsid w:val="000E1D70"/>
    <w:rsid w:val="000F4C26"/>
    <w:rsid w:val="001846AB"/>
    <w:rsid w:val="001A738E"/>
    <w:rsid w:val="001C12DE"/>
    <w:rsid w:val="001C2601"/>
    <w:rsid w:val="001C2E37"/>
    <w:rsid w:val="00223D5F"/>
    <w:rsid w:val="00256E52"/>
    <w:rsid w:val="002616A3"/>
    <w:rsid w:val="002B03D6"/>
    <w:rsid w:val="003465F8"/>
    <w:rsid w:val="003C6EDA"/>
    <w:rsid w:val="003E391A"/>
    <w:rsid w:val="00420F00"/>
    <w:rsid w:val="004A6F2B"/>
    <w:rsid w:val="004E373E"/>
    <w:rsid w:val="00507C16"/>
    <w:rsid w:val="005127E2"/>
    <w:rsid w:val="00607C69"/>
    <w:rsid w:val="0061692D"/>
    <w:rsid w:val="00671976"/>
    <w:rsid w:val="00672F84"/>
    <w:rsid w:val="007A23BF"/>
    <w:rsid w:val="00894FFA"/>
    <w:rsid w:val="008B401D"/>
    <w:rsid w:val="0093338A"/>
    <w:rsid w:val="00975F53"/>
    <w:rsid w:val="009A27F9"/>
    <w:rsid w:val="009C487A"/>
    <w:rsid w:val="00A0167A"/>
    <w:rsid w:val="00A02D86"/>
    <w:rsid w:val="00A50942"/>
    <w:rsid w:val="00A50CB1"/>
    <w:rsid w:val="00A632DF"/>
    <w:rsid w:val="00A82FE1"/>
    <w:rsid w:val="00A9568D"/>
    <w:rsid w:val="00AB02B9"/>
    <w:rsid w:val="00AD43EE"/>
    <w:rsid w:val="00B1778A"/>
    <w:rsid w:val="00B577E1"/>
    <w:rsid w:val="00B645C3"/>
    <w:rsid w:val="00B82368"/>
    <w:rsid w:val="00B904CE"/>
    <w:rsid w:val="00BC501C"/>
    <w:rsid w:val="00BE2251"/>
    <w:rsid w:val="00C049CB"/>
    <w:rsid w:val="00C149B8"/>
    <w:rsid w:val="00C506D5"/>
    <w:rsid w:val="00C60F46"/>
    <w:rsid w:val="00C738E3"/>
    <w:rsid w:val="00C7440B"/>
    <w:rsid w:val="00D21C02"/>
    <w:rsid w:val="00D22F6B"/>
    <w:rsid w:val="00D526C9"/>
    <w:rsid w:val="00D61172"/>
    <w:rsid w:val="00DC5951"/>
    <w:rsid w:val="00DD2B03"/>
    <w:rsid w:val="00DF609E"/>
    <w:rsid w:val="00E0660B"/>
    <w:rsid w:val="00E24C90"/>
    <w:rsid w:val="00E26526"/>
    <w:rsid w:val="00E342EA"/>
    <w:rsid w:val="00E57923"/>
    <w:rsid w:val="00EA0AE9"/>
    <w:rsid w:val="00EC5881"/>
    <w:rsid w:val="00ED418A"/>
    <w:rsid w:val="00F1160E"/>
    <w:rsid w:val="00F31596"/>
    <w:rsid w:val="00F36C0F"/>
    <w:rsid w:val="00F41FD5"/>
    <w:rsid w:val="01E60F36"/>
    <w:rsid w:val="022F3B28"/>
    <w:rsid w:val="02640B26"/>
    <w:rsid w:val="03BC4D16"/>
    <w:rsid w:val="04E217BE"/>
    <w:rsid w:val="076169E8"/>
    <w:rsid w:val="09C46085"/>
    <w:rsid w:val="0A9B2BFA"/>
    <w:rsid w:val="0ADD1700"/>
    <w:rsid w:val="0B424B21"/>
    <w:rsid w:val="0B5262F1"/>
    <w:rsid w:val="0CD12600"/>
    <w:rsid w:val="11F1104F"/>
    <w:rsid w:val="12142A75"/>
    <w:rsid w:val="12CE6A3C"/>
    <w:rsid w:val="12E06408"/>
    <w:rsid w:val="13097AD4"/>
    <w:rsid w:val="162714E3"/>
    <w:rsid w:val="1C3A6EF4"/>
    <w:rsid w:val="1D8B66B3"/>
    <w:rsid w:val="1DFF5DA9"/>
    <w:rsid w:val="203A302B"/>
    <w:rsid w:val="22373C96"/>
    <w:rsid w:val="24AD5E73"/>
    <w:rsid w:val="26170C2C"/>
    <w:rsid w:val="261B38B5"/>
    <w:rsid w:val="269B2AE6"/>
    <w:rsid w:val="269F64C8"/>
    <w:rsid w:val="26C412A3"/>
    <w:rsid w:val="28902008"/>
    <w:rsid w:val="29DF1956"/>
    <w:rsid w:val="2CAC051B"/>
    <w:rsid w:val="2D2F71A3"/>
    <w:rsid w:val="2EB45BB2"/>
    <w:rsid w:val="2F881E8A"/>
    <w:rsid w:val="30AA57FA"/>
    <w:rsid w:val="3126266B"/>
    <w:rsid w:val="31687E86"/>
    <w:rsid w:val="332F0A06"/>
    <w:rsid w:val="33AB7C3A"/>
    <w:rsid w:val="357D4554"/>
    <w:rsid w:val="380F6D8C"/>
    <w:rsid w:val="3866365A"/>
    <w:rsid w:val="387C0DC3"/>
    <w:rsid w:val="399D4638"/>
    <w:rsid w:val="39DF50F9"/>
    <w:rsid w:val="3B854D4A"/>
    <w:rsid w:val="3DDD14F8"/>
    <w:rsid w:val="3DE22334"/>
    <w:rsid w:val="3E594080"/>
    <w:rsid w:val="42FC6174"/>
    <w:rsid w:val="449E3321"/>
    <w:rsid w:val="470C691E"/>
    <w:rsid w:val="48353A66"/>
    <w:rsid w:val="485C25DA"/>
    <w:rsid w:val="48BD16AF"/>
    <w:rsid w:val="48C94C9E"/>
    <w:rsid w:val="49BD689C"/>
    <w:rsid w:val="4C6C31F6"/>
    <w:rsid w:val="4F063E17"/>
    <w:rsid w:val="50863C9F"/>
    <w:rsid w:val="524B1ADA"/>
    <w:rsid w:val="58727DC0"/>
    <w:rsid w:val="5955311B"/>
    <w:rsid w:val="598E002D"/>
    <w:rsid w:val="5A240E27"/>
    <w:rsid w:val="5A5964C8"/>
    <w:rsid w:val="5E703CDF"/>
    <w:rsid w:val="613E3772"/>
    <w:rsid w:val="62AA0157"/>
    <w:rsid w:val="62B31701"/>
    <w:rsid w:val="63D83698"/>
    <w:rsid w:val="63E35C21"/>
    <w:rsid w:val="669B2BD8"/>
    <w:rsid w:val="691B726B"/>
    <w:rsid w:val="69447B88"/>
    <w:rsid w:val="69CE151D"/>
    <w:rsid w:val="6A42336B"/>
    <w:rsid w:val="6ADC30DD"/>
    <w:rsid w:val="6D6D0C7A"/>
    <w:rsid w:val="6F702EB9"/>
    <w:rsid w:val="6F8A08A9"/>
    <w:rsid w:val="71BA6861"/>
    <w:rsid w:val="71CF79B0"/>
    <w:rsid w:val="735F40D6"/>
    <w:rsid w:val="7561323F"/>
    <w:rsid w:val="78A11141"/>
    <w:rsid w:val="79A2404B"/>
    <w:rsid w:val="7A1173D2"/>
    <w:rsid w:val="7C6E07FD"/>
    <w:rsid w:val="7DD314FA"/>
    <w:rsid w:val="7E265AE7"/>
    <w:rsid w:val="7EA877E8"/>
    <w:rsid w:val="7EE46AA6"/>
    <w:rsid w:val="7F020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contextualSpacing/>
      <w:outlineLvl w:val="2"/>
    </w:pPr>
    <w:rPr>
      <w:b/>
      <w:bCs/>
      <w:sz w:val="30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rPr>
      <w:rFonts w:eastAsia="仿宋_GB2312"/>
      <w:sz w:val="32"/>
      <w:szCs w:val="20"/>
    </w:rPr>
  </w:style>
  <w:style w:type="paragraph" w:styleId="5">
    <w:name w:val="Body Text Indent 2"/>
    <w:basedOn w:val="1"/>
    <w:unhideWhenUsed/>
    <w:qFormat/>
    <w:uiPriority w:val="99"/>
    <w:pPr>
      <w:tabs>
        <w:tab w:val="left" w:pos="7020"/>
      </w:tabs>
      <w:spacing w:line="400" w:lineRule="exact"/>
      <w:ind w:firstLine="640" w:firstLineChars="200"/>
    </w:pPr>
    <w:rPr>
      <w:rFonts w:hint="eastAsia" w:ascii="仿宋_GB2312" w:hAnsi="宋体" w:eastAsia="仿宋_GB2312"/>
      <w:sz w:val="32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2398</Words>
  <Characters>2634</Characters>
  <Lines>24</Lines>
  <Paragraphs>6</Paragraphs>
  <TotalTime>0</TotalTime>
  <ScaleCrop>false</ScaleCrop>
  <LinksUpToDate>false</LinksUpToDate>
  <CharactersWithSpaces>2656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2021-08-16T06:16:00Z</dcterms:created>
  <dc:creator>陈思</dc:creator>
  <cp:lastModifiedBy>小飞象</cp:lastModifiedBy>
  <cp:lastPrinted>2026-04-30T08:20:00Z</cp:lastPrinted>
  <dcterms:modified xsi:type="dcterms:W3CDTF">2026-05-19T01:35:38Z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44C312C033B84A7B9D192215DFAC5BE6_13</vt:lpwstr>
  </property>
  <property fmtid="{D5CDD505-2E9C-101B-9397-08002B2CF9AE}" pid="4" name="KSOTemplateDocerSaveRecord">
    <vt:lpwstr>eyJoZGlkIjoiYzRhMmFlNWZkYzdhODM4MWRhMTJmNDJjODBjNmJjMmMiLCJ1c2VySWQiOiIxMTI0OTQ1MTY4In0=</vt:lpwstr>
  </property>
</Properties>
</file>