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990AED">
      <w:pPr>
        <w:spacing w:line="240" w:lineRule="auto"/>
        <w:jc w:val="center"/>
        <w:rPr>
          <w:rFonts w:hint="eastAsia" w:ascii="方正小标宋简体" w:hAnsi="方正小标宋简体" w:eastAsia="方正小标宋简体" w:cs="方正小标宋简体"/>
          <w:b w:val="0"/>
          <w:bCs/>
          <w:kern w:val="0"/>
          <w:sz w:val="44"/>
          <w:szCs w:val="44"/>
        </w:rPr>
      </w:pPr>
      <w:r>
        <w:rPr>
          <w:rFonts w:hint="eastAsia" w:ascii="方正小标宋简体" w:hAnsi="方正小标宋简体" w:eastAsia="方正小标宋简体" w:cs="方正小标宋简体"/>
          <w:b w:val="0"/>
          <w:bCs/>
          <w:kern w:val="0"/>
          <w:sz w:val="44"/>
          <w:szCs w:val="44"/>
        </w:rPr>
        <w:t>苏州市环境信访</w:t>
      </w:r>
      <w:r>
        <w:rPr>
          <w:rFonts w:hint="eastAsia" w:ascii="方正小标宋简体" w:hAnsi="方正小标宋简体" w:eastAsia="方正小标宋简体" w:cs="方正小标宋简体"/>
          <w:b w:val="0"/>
          <w:bCs/>
          <w:kern w:val="0"/>
          <w:sz w:val="44"/>
          <w:szCs w:val="44"/>
          <w:lang w:eastAsia="zh-CN"/>
        </w:rPr>
        <w:t>举报</w:t>
      </w:r>
      <w:r>
        <w:rPr>
          <w:rFonts w:hint="eastAsia" w:ascii="方正小标宋简体" w:hAnsi="方正小标宋简体" w:eastAsia="方正小标宋简体" w:cs="方正小标宋简体"/>
          <w:b w:val="0"/>
          <w:bCs/>
          <w:kern w:val="0"/>
          <w:sz w:val="44"/>
          <w:szCs w:val="44"/>
        </w:rPr>
        <w:t>情况信息公开（202</w:t>
      </w:r>
      <w:r>
        <w:rPr>
          <w:rFonts w:hint="eastAsia" w:ascii="方正小标宋简体" w:hAnsi="方正小标宋简体" w:eastAsia="方正小标宋简体" w:cs="方正小标宋简体"/>
          <w:b w:val="0"/>
          <w:bCs/>
          <w:kern w:val="0"/>
          <w:sz w:val="44"/>
          <w:szCs w:val="44"/>
          <w:lang w:val="en-US" w:eastAsia="zh-CN"/>
        </w:rPr>
        <w:t>5</w:t>
      </w:r>
      <w:r>
        <w:rPr>
          <w:rFonts w:hint="eastAsia" w:ascii="方正小标宋简体" w:hAnsi="方正小标宋简体" w:eastAsia="方正小标宋简体" w:cs="方正小标宋简体"/>
          <w:b w:val="0"/>
          <w:bCs/>
          <w:kern w:val="0"/>
          <w:sz w:val="44"/>
          <w:szCs w:val="44"/>
        </w:rPr>
        <w:t>年</w:t>
      </w:r>
      <w:r>
        <w:rPr>
          <w:rFonts w:hint="eastAsia" w:ascii="方正小标宋简体" w:hAnsi="方正小标宋简体" w:eastAsia="方正小标宋简体" w:cs="方正小标宋简体"/>
          <w:b w:val="0"/>
          <w:bCs/>
          <w:kern w:val="0"/>
          <w:sz w:val="44"/>
          <w:szCs w:val="44"/>
          <w:lang w:val="en-US" w:eastAsia="zh-CN"/>
        </w:rPr>
        <w:t>7</w:t>
      </w:r>
      <w:r>
        <w:rPr>
          <w:rFonts w:hint="eastAsia" w:ascii="方正小标宋简体" w:hAnsi="方正小标宋简体" w:eastAsia="方正小标宋简体" w:cs="方正小标宋简体"/>
          <w:b w:val="0"/>
          <w:bCs/>
          <w:kern w:val="0"/>
          <w:sz w:val="44"/>
          <w:szCs w:val="44"/>
        </w:rPr>
        <w:t>月）</w:t>
      </w:r>
    </w:p>
    <w:p w14:paraId="2AA19BED">
      <w:pPr>
        <w:spacing w:line="240" w:lineRule="auto"/>
        <w:ind w:firstLine="640" w:firstLineChars="200"/>
        <w:jc w:val="both"/>
        <w:rPr>
          <w:rFonts w:hint="eastAsia" w:ascii="Times New Roman" w:eastAsia="仿宋_GB2312"/>
          <w:sz w:val="32"/>
          <w:szCs w:val="32"/>
          <w:lang w:val="en-US" w:eastAsia="zh-CN"/>
        </w:rPr>
      </w:pPr>
      <w:r>
        <w:rPr>
          <w:rFonts w:hint="eastAsia" w:ascii="Times New Roman" w:eastAsia="仿宋_GB2312"/>
          <w:sz w:val="32"/>
          <w:szCs w:val="32"/>
          <w:lang w:val="en-US" w:eastAsia="zh-CN"/>
        </w:rPr>
        <w:t>2025年7</w:t>
      </w:r>
      <w:r>
        <w:rPr>
          <w:rFonts w:hint="eastAsia" w:ascii="Times New Roman" w:eastAsia="仿宋_GB2312"/>
          <w:sz w:val="32"/>
          <w:szCs w:val="32"/>
        </w:rPr>
        <w:t>月，</w:t>
      </w:r>
      <w:r>
        <w:rPr>
          <w:rFonts w:hint="eastAsia" w:ascii="Times New Roman" w:eastAsia="仿宋_GB2312"/>
          <w:sz w:val="32"/>
          <w:szCs w:val="32"/>
          <w:lang w:eastAsia="zh-CN"/>
        </w:rPr>
        <w:t>全市生态环境部门</w:t>
      </w:r>
      <w:r>
        <w:rPr>
          <w:rFonts w:hint="eastAsia" w:ascii="Times New Roman" w:eastAsia="仿宋_GB2312"/>
          <w:sz w:val="32"/>
          <w:szCs w:val="32"/>
        </w:rPr>
        <w:t>共受理各级环境信访举</w:t>
      </w:r>
      <w:r>
        <w:rPr>
          <w:rFonts w:hint="eastAsia" w:ascii="Times New Roman" w:eastAsia="仿宋_GB2312"/>
          <w:sz w:val="32"/>
          <w:szCs w:val="32"/>
          <w:lang w:val="en-US" w:eastAsia="zh-CN"/>
        </w:rPr>
        <w:t>报</w:t>
      </w:r>
      <w:r>
        <w:rPr>
          <w:rFonts w:hint="eastAsia" w:ascii="Times New Roman" w:eastAsia="仿宋_GB2312" w:cs="Times New Roman"/>
          <w:i w:val="0"/>
          <w:iCs w:val="0"/>
          <w:caps w:val="0"/>
          <w:color w:val="auto"/>
          <w:spacing w:val="0"/>
          <w:sz w:val="32"/>
          <w:szCs w:val="32"/>
          <w:lang w:val="en-US" w:eastAsia="zh-CN"/>
        </w:rPr>
        <w:t>479</w:t>
      </w:r>
      <w:r>
        <w:rPr>
          <w:rFonts w:hint="default" w:ascii="Times New Roman" w:hAnsi="Times New Roman" w:eastAsia="仿宋_GB2312" w:cs="Times New Roman"/>
          <w:i w:val="0"/>
          <w:iCs w:val="0"/>
          <w:caps w:val="0"/>
          <w:color w:val="auto"/>
          <w:spacing w:val="0"/>
          <w:sz w:val="32"/>
          <w:szCs w:val="32"/>
        </w:rPr>
        <w:t>件，同比</w:t>
      </w:r>
      <w:r>
        <w:rPr>
          <w:rFonts w:hint="eastAsia" w:ascii="Times New Roman" w:eastAsia="仿宋_GB2312" w:cs="Times New Roman"/>
          <w:i w:val="0"/>
          <w:iCs w:val="0"/>
          <w:caps w:val="0"/>
          <w:color w:val="auto"/>
          <w:spacing w:val="0"/>
          <w:sz w:val="32"/>
          <w:szCs w:val="32"/>
          <w:lang w:eastAsia="zh-CN"/>
        </w:rPr>
        <w:t>下降</w:t>
      </w:r>
      <w:r>
        <w:rPr>
          <w:rFonts w:hint="eastAsia" w:ascii="Times New Roman" w:eastAsia="仿宋_GB2312" w:cs="Times New Roman"/>
          <w:i w:val="0"/>
          <w:iCs w:val="0"/>
          <w:caps w:val="0"/>
          <w:color w:val="auto"/>
          <w:spacing w:val="0"/>
          <w:sz w:val="32"/>
          <w:szCs w:val="32"/>
          <w:lang w:val="en-US" w:eastAsia="zh-CN"/>
        </w:rPr>
        <w:t>11.8</w:t>
      </w:r>
      <w:r>
        <w:rPr>
          <w:rFonts w:hint="default" w:ascii="Times New Roman" w:hAnsi="Times New Roman" w:cs="Times New Roman"/>
          <w:i w:val="0"/>
          <w:iCs w:val="0"/>
          <w:caps w:val="0"/>
          <w:color w:val="auto"/>
          <w:spacing w:val="0"/>
          <w:sz w:val="32"/>
          <w:szCs w:val="32"/>
        </w:rPr>
        <w:t>%</w:t>
      </w:r>
      <w:r>
        <w:rPr>
          <w:rFonts w:hint="eastAsia" w:ascii="Times New Roman" w:eastAsia="仿宋_GB2312"/>
          <w:sz w:val="32"/>
          <w:szCs w:val="32"/>
          <w:lang w:val="en-US" w:eastAsia="zh-CN"/>
        </w:rPr>
        <w:t>。</w:t>
      </w:r>
    </w:p>
    <w:tbl>
      <w:tblPr>
        <w:tblStyle w:val="10"/>
        <w:tblW w:w="13221" w:type="dxa"/>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531"/>
        <w:gridCol w:w="1066"/>
        <w:gridCol w:w="2976"/>
        <w:gridCol w:w="6875"/>
        <w:gridCol w:w="1773"/>
      </w:tblGrid>
      <w:tr w14:paraId="180FEF2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531" w:type="dxa"/>
            <w:shd w:val="clear" w:color="auto" w:fill="auto"/>
            <w:vAlign w:val="center"/>
          </w:tcPr>
          <w:p w14:paraId="0887B451">
            <w:pPr>
              <w:spacing w:line="240" w:lineRule="auto"/>
              <w:jc w:val="center"/>
              <w:rPr>
                <w:rFonts w:hint="eastAsia" w:ascii="黑体" w:hAnsi="黑体" w:eastAsia="黑体"/>
                <w:sz w:val="24"/>
                <w:szCs w:val="24"/>
              </w:rPr>
            </w:pPr>
            <w:r>
              <w:rPr>
                <w:rFonts w:hint="eastAsia" w:ascii="黑体" w:hAnsi="黑体" w:eastAsia="黑体"/>
                <w:sz w:val="24"/>
                <w:szCs w:val="24"/>
              </w:rPr>
              <w:t>序号</w:t>
            </w:r>
          </w:p>
        </w:tc>
        <w:tc>
          <w:tcPr>
            <w:tcW w:w="1066" w:type="dxa"/>
            <w:shd w:val="clear" w:color="auto" w:fill="auto"/>
            <w:vAlign w:val="center"/>
          </w:tcPr>
          <w:p w14:paraId="591D36DB">
            <w:pPr>
              <w:spacing w:line="240" w:lineRule="auto"/>
              <w:jc w:val="center"/>
              <w:rPr>
                <w:rFonts w:hint="eastAsia" w:ascii="黑体" w:hAnsi="黑体" w:eastAsia="黑体"/>
                <w:sz w:val="24"/>
                <w:szCs w:val="24"/>
              </w:rPr>
            </w:pPr>
            <w:r>
              <w:rPr>
                <w:rFonts w:hint="eastAsia" w:ascii="黑体" w:hAnsi="黑体" w:eastAsia="黑体"/>
                <w:sz w:val="24"/>
                <w:szCs w:val="24"/>
              </w:rPr>
              <w:t>地区</w:t>
            </w:r>
          </w:p>
        </w:tc>
        <w:tc>
          <w:tcPr>
            <w:tcW w:w="2976" w:type="dxa"/>
            <w:shd w:val="clear" w:color="auto" w:fill="auto"/>
            <w:vAlign w:val="center"/>
          </w:tcPr>
          <w:p w14:paraId="50CE4893">
            <w:pPr>
              <w:spacing w:line="240" w:lineRule="auto"/>
              <w:jc w:val="center"/>
              <w:rPr>
                <w:rFonts w:hint="eastAsia" w:ascii="黑体" w:hAnsi="黑体" w:eastAsia="黑体"/>
                <w:sz w:val="24"/>
                <w:szCs w:val="24"/>
              </w:rPr>
            </w:pPr>
            <w:r>
              <w:rPr>
                <w:rFonts w:hint="eastAsia" w:ascii="黑体" w:hAnsi="黑体" w:eastAsia="黑体"/>
                <w:sz w:val="24"/>
                <w:szCs w:val="24"/>
              </w:rPr>
              <w:t>群众投诉问题</w:t>
            </w:r>
          </w:p>
        </w:tc>
        <w:tc>
          <w:tcPr>
            <w:tcW w:w="6875" w:type="dxa"/>
            <w:shd w:val="clear" w:color="auto" w:fill="auto"/>
            <w:vAlign w:val="center"/>
          </w:tcPr>
          <w:p w14:paraId="14C30127">
            <w:pPr>
              <w:spacing w:line="240" w:lineRule="auto"/>
              <w:jc w:val="center"/>
              <w:rPr>
                <w:rFonts w:hint="eastAsia" w:ascii="黑体" w:hAnsi="黑体" w:eastAsia="黑体"/>
                <w:sz w:val="24"/>
                <w:szCs w:val="24"/>
              </w:rPr>
            </w:pPr>
            <w:r>
              <w:rPr>
                <w:rFonts w:hint="eastAsia" w:ascii="黑体" w:hAnsi="黑体" w:eastAsia="黑体"/>
                <w:sz w:val="24"/>
                <w:szCs w:val="24"/>
              </w:rPr>
              <w:t>处理情况</w:t>
            </w:r>
          </w:p>
        </w:tc>
        <w:tc>
          <w:tcPr>
            <w:tcW w:w="1773" w:type="dxa"/>
            <w:vAlign w:val="center"/>
          </w:tcPr>
          <w:p w14:paraId="7232B2DE">
            <w:pPr>
              <w:spacing w:line="240" w:lineRule="auto"/>
              <w:jc w:val="center"/>
              <w:rPr>
                <w:rFonts w:hint="eastAsia" w:ascii="黑体" w:hAnsi="黑体" w:eastAsia="黑体"/>
                <w:sz w:val="24"/>
                <w:szCs w:val="24"/>
              </w:rPr>
            </w:pPr>
            <w:r>
              <w:rPr>
                <w:rFonts w:hint="eastAsia" w:ascii="黑体" w:hAnsi="黑体" w:eastAsia="黑体"/>
                <w:sz w:val="24"/>
                <w:szCs w:val="24"/>
              </w:rPr>
              <w:t>备注</w:t>
            </w:r>
          </w:p>
        </w:tc>
      </w:tr>
      <w:tr w14:paraId="72D63E9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688" w:hRule="atLeast"/>
        </w:trPr>
        <w:tc>
          <w:tcPr>
            <w:tcW w:w="531" w:type="dxa"/>
            <w:shd w:val="clear" w:color="auto" w:fill="auto"/>
            <w:vAlign w:val="center"/>
          </w:tcPr>
          <w:p w14:paraId="3656E85D">
            <w:pPr>
              <w:spacing w:line="240" w:lineRule="auto"/>
              <w:jc w:val="center"/>
              <w:rPr>
                <w:rFonts w:hint="eastAsia" w:ascii="宋体" w:hAnsi="宋体" w:eastAsia="宋体"/>
                <w:szCs w:val="21"/>
              </w:rPr>
            </w:pPr>
            <w:r>
              <w:rPr>
                <w:rFonts w:hint="eastAsia" w:ascii="宋体" w:hAnsi="宋体" w:eastAsia="宋体"/>
                <w:szCs w:val="21"/>
              </w:rPr>
              <w:t>1</w:t>
            </w:r>
          </w:p>
        </w:tc>
        <w:tc>
          <w:tcPr>
            <w:tcW w:w="1066" w:type="dxa"/>
            <w:shd w:val="clear" w:color="auto" w:fill="auto"/>
            <w:vAlign w:val="center"/>
          </w:tcPr>
          <w:p w14:paraId="3F1D03EA">
            <w:pPr>
              <w:spacing w:line="240" w:lineRule="auto"/>
              <w:jc w:val="center"/>
              <w:rPr>
                <w:rFonts w:hint="eastAsia" w:ascii="宋体" w:hAnsi="宋体" w:eastAsia="宋体"/>
                <w:szCs w:val="21"/>
                <w:lang w:eastAsia="zh-CN"/>
              </w:rPr>
            </w:pPr>
            <w:r>
              <w:rPr>
                <w:rFonts w:hint="eastAsia" w:ascii="宋体" w:hAnsi="宋体" w:eastAsia="宋体"/>
                <w:szCs w:val="21"/>
              </w:rPr>
              <w:t>张家港</w:t>
            </w:r>
            <w:r>
              <w:rPr>
                <w:rFonts w:hint="eastAsia" w:ascii="宋体" w:hAnsi="宋体" w:eastAsia="宋体"/>
                <w:szCs w:val="21"/>
                <w:lang w:eastAsia="zh-CN"/>
              </w:rPr>
              <w:t>市</w:t>
            </w:r>
          </w:p>
        </w:tc>
        <w:tc>
          <w:tcPr>
            <w:tcW w:w="2976" w:type="dxa"/>
            <w:shd w:val="clear" w:color="auto" w:fill="auto"/>
            <w:vAlign w:val="center"/>
          </w:tcPr>
          <w:p w14:paraId="572BF076">
            <w:pPr>
              <w:spacing w:line="240" w:lineRule="auto"/>
              <w:rPr>
                <w:rFonts w:hint="eastAsia" w:ascii="宋体" w:hAnsi="宋体" w:eastAsia="宋体"/>
                <w:szCs w:val="21"/>
                <w:lang w:val="en-US" w:eastAsia="zh-CN"/>
              </w:rPr>
            </w:pPr>
            <w:r>
              <w:rPr>
                <w:rFonts w:hint="eastAsia" w:ascii="Times New Roman" w:hAnsi="Times New Roman" w:cs="Times New Roman" w:eastAsiaTheme="majorEastAsia"/>
                <w:szCs w:val="32"/>
              </w:rPr>
              <w:t>塘桥镇柯豪纺织有限公司机器噪音太大，吵的睡不着觉，望处理。</w:t>
            </w:r>
          </w:p>
        </w:tc>
        <w:tc>
          <w:tcPr>
            <w:tcW w:w="6875" w:type="dxa"/>
            <w:shd w:val="clear" w:color="auto" w:fill="auto"/>
            <w:vAlign w:val="center"/>
          </w:tcPr>
          <w:p w14:paraId="4BB4D182">
            <w:pPr>
              <w:adjustRightInd w:val="0"/>
              <w:spacing w:line="240" w:lineRule="auto"/>
              <w:ind w:firstLine="420" w:firstLineChars="200"/>
              <w:rPr>
                <w:rFonts w:hint="eastAsia" w:ascii="宋体" w:hAnsi="宋体" w:eastAsia="宋体"/>
                <w:szCs w:val="21"/>
                <w:lang w:val="en-US" w:eastAsia="zh-CN"/>
              </w:rPr>
            </w:pPr>
            <w:r>
              <w:rPr>
                <w:rFonts w:hint="eastAsia" w:ascii="Times New Roman" w:hAnsi="Times New Roman" w:cs="Times New Roman" w:eastAsiaTheme="majorEastAsia"/>
                <w:szCs w:val="21"/>
              </w:rPr>
              <w:t>经核实，该企业生产过程中主要噪声源为纺织机械运转产生的噪声。</w:t>
            </w:r>
            <w:r>
              <w:rPr>
                <w:rFonts w:hint="eastAsia" w:ascii="Times New Roman" w:hAnsi="Times New Roman" w:cs="Times New Roman" w:eastAsiaTheme="majorEastAsia"/>
                <w:szCs w:val="21"/>
                <w:lang w:eastAsia="zh-CN"/>
              </w:rPr>
              <w:t>张家港生态环境局</w:t>
            </w:r>
            <w:r>
              <w:rPr>
                <w:rFonts w:hint="eastAsia" w:ascii="Times New Roman" w:hAnsi="Times New Roman" w:cs="Times New Roman" w:eastAsiaTheme="majorEastAsia"/>
                <w:szCs w:val="21"/>
              </w:rPr>
              <w:t>要求企业采取有效措施，降低噪声对周边环境的影响</w:t>
            </w:r>
            <w:r>
              <w:rPr>
                <w:rFonts w:hint="eastAsia" w:ascii="Times New Roman" w:hAnsi="Times New Roman" w:cs="Times New Roman" w:eastAsiaTheme="majorEastAsia"/>
                <w:szCs w:val="21"/>
                <w:lang w:eastAsia="zh-CN"/>
              </w:rPr>
              <w:t>，</w:t>
            </w:r>
            <w:r>
              <w:rPr>
                <w:rFonts w:hint="eastAsia" w:ascii="Times New Roman" w:hAnsi="Times New Roman" w:cs="Times New Roman" w:eastAsiaTheme="majorEastAsia"/>
                <w:szCs w:val="21"/>
                <w:lang w:val="en-US" w:eastAsia="zh-CN"/>
              </w:rPr>
              <w:t>目前企业已完成隔音降噪整改。同时</w:t>
            </w:r>
            <w:r>
              <w:rPr>
                <w:rFonts w:hint="eastAsia" w:ascii="Times New Roman" w:hAnsi="Times New Roman" w:cs="Times New Roman" w:eastAsiaTheme="majorEastAsia"/>
                <w:szCs w:val="21"/>
                <w:lang w:eastAsia="zh-CN"/>
              </w:rPr>
              <w:t>张家港生态环境局</w:t>
            </w:r>
            <w:r>
              <w:rPr>
                <w:rFonts w:hint="eastAsia" w:ascii="Times New Roman" w:hAnsi="Times New Roman" w:cs="Times New Roman" w:eastAsiaTheme="majorEastAsia"/>
                <w:szCs w:val="21"/>
                <w:lang w:val="en-US" w:eastAsia="zh-CN"/>
              </w:rPr>
              <w:t>要求企业</w:t>
            </w:r>
            <w:r>
              <w:rPr>
                <w:rFonts w:hint="eastAsia" w:ascii="Times New Roman" w:hAnsi="Times New Roman" w:cs="Times New Roman" w:eastAsiaTheme="majorEastAsia"/>
                <w:szCs w:val="21"/>
              </w:rPr>
              <w:t>加强管理，降低人为因素导致的噪声扰民。</w:t>
            </w:r>
          </w:p>
        </w:tc>
        <w:tc>
          <w:tcPr>
            <w:tcW w:w="1773" w:type="dxa"/>
            <w:vAlign w:val="center"/>
          </w:tcPr>
          <w:p w14:paraId="3E463333">
            <w:pPr>
              <w:adjustRightInd w:val="0"/>
              <w:spacing w:line="240" w:lineRule="auto"/>
              <w:rPr>
                <w:rFonts w:ascii="Times New Roman" w:hAnsi="Times New Roman" w:cs="Times New Roman" w:eastAsiaTheme="majorEastAsia"/>
                <w:szCs w:val="21"/>
              </w:rPr>
            </w:pPr>
          </w:p>
        </w:tc>
      </w:tr>
      <w:tr w14:paraId="043386A9">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226" w:hRule="atLeast"/>
        </w:trPr>
        <w:tc>
          <w:tcPr>
            <w:tcW w:w="531" w:type="dxa"/>
            <w:shd w:val="clear" w:color="auto" w:fill="auto"/>
            <w:vAlign w:val="center"/>
          </w:tcPr>
          <w:p w14:paraId="45BC2F6A">
            <w:pPr>
              <w:spacing w:line="240" w:lineRule="auto"/>
              <w:jc w:val="center"/>
              <w:rPr>
                <w:rFonts w:hint="eastAsia" w:ascii="宋体" w:hAnsi="宋体" w:eastAsia="宋体"/>
                <w:szCs w:val="21"/>
                <w:lang w:val="en-US" w:eastAsia="zh-CN"/>
              </w:rPr>
            </w:pPr>
            <w:r>
              <w:rPr>
                <w:rFonts w:hint="eastAsia" w:ascii="宋体" w:hAnsi="宋体" w:eastAsia="宋体"/>
                <w:szCs w:val="21"/>
                <w:lang w:val="en-US" w:eastAsia="zh-CN"/>
              </w:rPr>
              <w:t>2</w:t>
            </w:r>
          </w:p>
        </w:tc>
        <w:tc>
          <w:tcPr>
            <w:tcW w:w="1066" w:type="dxa"/>
            <w:shd w:val="clear" w:color="auto" w:fill="auto"/>
            <w:vAlign w:val="center"/>
          </w:tcPr>
          <w:p w14:paraId="150F06C5">
            <w:pPr>
              <w:spacing w:line="240" w:lineRule="auto"/>
              <w:jc w:val="center"/>
              <w:rPr>
                <w:rFonts w:hint="eastAsia" w:ascii="宋体" w:hAnsi="宋体" w:eastAsia="宋体"/>
                <w:szCs w:val="21"/>
                <w:lang w:eastAsia="zh-CN"/>
              </w:rPr>
            </w:pPr>
            <w:r>
              <w:rPr>
                <w:rFonts w:hint="eastAsia" w:ascii="宋体" w:hAnsi="宋体" w:eastAsia="宋体"/>
                <w:szCs w:val="21"/>
                <w:lang w:eastAsia="zh-CN"/>
              </w:rPr>
              <w:t>常熟市</w:t>
            </w:r>
          </w:p>
        </w:tc>
        <w:tc>
          <w:tcPr>
            <w:tcW w:w="2976" w:type="dxa"/>
            <w:shd w:val="clear" w:color="auto" w:fill="auto"/>
            <w:vAlign w:val="center"/>
          </w:tcPr>
          <w:p w14:paraId="7FACD94C">
            <w:pPr>
              <w:spacing w:line="240" w:lineRule="auto"/>
              <w:rPr>
                <w:rFonts w:hint="eastAsia" w:ascii="Times New Roman" w:hAnsi="Times New Roman" w:cs="Times New Roman" w:eastAsiaTheme="majorEastAsia"/>
                <w:szCs w:val="32"/>
                <w:lang w:val="en-US" w:eastAsia="zh-CN"/>
              </w:rPr>
            </w:pPr>
            <w:r>
              <w:rPr>
                <w:rFonts w:hint="eastAsia" w:ascii="Times New Roman" w:hAnsi="Times New Roman" w:cs="Times New Roman" w:eastAsiaTheme="majorEastAsia"/>
                <w:szCs w:val="32"/>
              </w:rPr>
              <w:t>常熟市荧光灯具厂建办于1989年，为一家镇办企业，主要生产荧光节能灯，由于经营问题，长年亏损，于2012年自行关停。</w:t>
            </w:r>
            <w:bookmarkStart w:id="0" w:name="_GoBack"/>
            <w:bookmarkEnd w:id="0"/>
          </w:p>
        </w:tc>
        <w:tc>
          <w:tcPr>
            <w:tcW w:w="6875" w:type="dxa"/>
            <w:shd w:val="clear" w:color="auto" w:fill="auto"/>
            <w:vAlign w:val="center"/>
          </w:tcPr>
          <w:p w14:paraId="5942F8A5">
            <w:pPr>
              <w:adjustRightInd w:val="0"/>
              <w:spacing w:line="240" w:lineRule="auto"/>
              <w:ind w:firstLine="420" w:firstLineChars="200"/>
              <w:rPr>
                <w:rFonts w:hint="eastAsia" w:ascii="Times New Roman" w:hAnsi="Times New Roman" w:cs="Times New Roman" w:eastAsiaTheme="majorEastAsia"/>
                <w:szCs w:val="32"/>
                <w:lang w:val="en-US" w:eastAsia="zh-CN"/>
              </w:rPr>
            </w:pPr>
            <w:r>
              <w:rPr>
                <w:rFonts w:hint="eastAsia" w:ascii="Times New Roman" w:hAnsi="Times New Roman" w:cs="Times New Roman" w:eastAsiaTheme="majorEastAsia"/>
                <w:szCs w:val="21"/>
              </w:rPr>
              <w:t>2025年6月5日，</w:t>
            </w:r>
            <w:r>
              <w:rPr>
                <w:rFonts w:hint="eastAsia" w:ascii="Times New Roman" w:hAnsi="Times New Roman" w:cs="Times New Roman" w:eastAsiaTheme="majorEastAsia"/>
                <w:szCs w:val="21"/>
                <w:lang w:eastAsia="zh-CN"/>
              </w:rPr>
              <w:t>常熟生态环境局</w:t>
            </w:r>
            <w:r>
              <w:rPr>
                <w:rFonts w:hint="eastAsia" w:ascii="Times New Roman" w:hAnsi="Times New Roman" w:cs="Times New Roman" w:eastAsiaTheme="majorEastAsia"/>
                <w:szCs w:val="21"/>
              </w:rPr>
              <w:t>会同常福街道办事处对原常熟市荧光灯具厂及周边区域进行了现场检查。原常熟市荧光灯具厂的生产用房用于出租，现有4家经编织造企业入驻。经对原常熟市荧光灯具厂负责人顾福保调查询问，常熟市荧光灯具厂建厂较早，早期企业环保意识不高，将废灯管倒在厂旁边的河浜内；2008年起，企业将废灯管交给灯管供应厂商回收利用，直至2012年关厂。2021年，该企业所在区域拆旧复垦，在此过程中将该河浜进行了填土复耕，复耕后河浜原址目前种植了大棚西瓜。根据现场检查情况，</w:t>
            </w:r>
            <w:r>
              <w:rPr>
                <w:rFonts w:hint="eastAsia" w:ascii="Times New Roman" w:hAnsi="Times New Roman" w:cs="Times New Roman" w:eastAsiaTheme="majorEastAsia"/>
                <w:szCs w:val="21"/>
                <w:lang w:eastAsia="zh-CN"/>
              </w:rPr>
              <w:t>常熟生态环境局</w:t>
            </w:r>
            <w:r>
              <w:rPr>
                <w:rFonts w:hint="eastAsia" w:ascii="Times New Roman" w:hAnsi="Times New Roman" w:cs="Times New Roman" w:eastAsiaTheme="majorEastAsia"/>
                <w:szCs w:val="21"/>
              </w:rPr>
              <w:t>将会同常福街道委托第三方检测公司对该河浜处土壤及地下水进行检测，并视检测结果作进一步处理。</w:t>
            </w:r>
          </w:p>
        </w:tc>
        <w:tc>
          <w:tcPr>
            <w:tcW w:w="1773" w:type="dxa"/>
            <w:vAlign w:val="center"/>
          </w:tcPr>
          <w:p w14:paraId="3385E13E">
            <w:pPr>
              <w:adjustRightInd w:val="0"/>
              <w:spacing w:line="240" w:lineRule="auto"/>
              <w:rPr>
                <w:rFonts w:ascii="Times New Roman" w:hAnsi="Times New Roman" w:cs="Times New Roman" w:eastAsiaTheme="majorEastAsia"/>
                <w:szCs w:val="21"/>
              </w:rPr>
            </w:pPr>
          </w:p>
        </w:tc>
      </w:tr>
      <w:tr w14:paraId="72EDB88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298" w:hRule="atLeast"/>
        </w:trPr>
        <w:tc>
          <w:tcPr>
            <w:tcW w:w="531" w:type="dxa"/>
            <w:shd w:val="clear" w:color="auto" w:fill="auto"/>
            <w:vAlign w:val="center"/>
          </w:tcPr>
          <w:p w14:paraId="62B3B57D">
            <w:pPr>
              <w:spacing w:line="240" w:lineRule="auto"/>
              <w:jc w:val="center"/>
              <w:rPr>
                <w:rFonts w:hint="default" w:ascii="宋体" w:hAnsi="宋体" w:eastAsia="宋体"/>
                <w:szCs w:val="21"/>
                <w:lang w:val="en-US" w:eastAsia="zh-CN"/>
              </w:rPr>
            </w:pPr>
            <w:r>
              <w:rPr>
                <w:rFonts w:hint="eastAsia" w:ascii="宋体" w:hAnsi="宋体" w:eastAsia="宋体"/>
                <w:szCs w:val="21"/>
                <w:lang w:val="en-US" w:eastAsia="zh-CN"/>
              </w:rPr>
              <w:t>3</w:t>
            </w:r>
          </w:p>
        </w:tc>
        <w:tc>
          <w:tcPr>
            <w:tcW w:w="1066" w:type="dxa"/>
            <w:shd w:val="clear" w:color="auto" w:fill="auto"/>
            <w:vAlign w:val="center"/>
          </w:tcPr>
          <w:p w14:paraId="7E6B1670">
            <w:pPr>
              <w:spacing w:line="240" w:lineRule="auto"/>
              <w:jc w:val="center"/>
              <w:rPr>
                <w:rFonts w:hint="eastAsia" w:ascii="宋体" w:hAnsi="宋体" w:eastAsia="宋体"/>
                <w:szCs w:val="21"/>
                <w:lang w:eastAsia="zh-CN"/>
              </w:rPr>
            </w:pPr>
            <w:r>
              <w:rPr>
                <w:rFonts w:hint="eastAsia" w:ascii="宋体" w:hAnsi="宋体" w:eastAsia="宋体"/>
                <w:szCs w:val="21"/>
                <w:lang w:eastAsia="zh-CN"/>
              </w:rPr>
              <w:t>太仓市</w:t>
            </w:r>
          </w:p>
        </w:tc>
        <w:tc>
          <w:tcPr>
            <w:tcW w:w="2976" w:type="dxa"/>
            <w:shd w:val="clear" w:color="auto" w:fill="auto"/>
            <w:vAlign w:val="center"/>
          </w:tcPr>
          <w:p w14:paraId="0349AEB8">
            <w:pPr>
              <w:spacing w:line="240" w:lineRule="auto"/>
              <w:rPr>
                <w:rFonts w:hint="eastAsia" w:ascii="Times New Roman" w:hAnsi="Times New Roman" w:cs="Times New Roman" w:eastAsiaTheme="majorEastAsia"/>
                <w:szCs w:val="32"/>
                <w:lang w:val="en-US" w:eastAsia="zh-CN"/>
              </w:rPr>
            </w:pPr>
            <w:r>
              <w:rPr>
                <w:rFonts w:hint="eastAsia" w:ascii="Times New Roman" w:hAnsi="Times New Roman" w:cs="Times New Roman" w:eastAsiaTheme="majorEastAsia"/>
                <w:szCs w:val="32"/>
              </w:rPr>
              <w:t>剑派实业有限公司晚上下班后会将电镀污水直接往杨林塘河内排放</w:t>
            </w:r>
            <w:r>
              <w:rPr>
                <w:rFonts w:hint="eastAsia" w:ascii="Times New Roman" w:hAnsi="Times New Roman" w:cs="Times New Roman" w:eastAsiaTheme="majorEastAsia"/>
                <w:szCs w:val="32"/>
                <w:lang w:eastAsia="zh-CN"/>
              </w:rPr>
              <w:t>。</w:t>
            </w:r>
          </w:p>
        </w:tc>
        <w:tc>
          <w:tcPr>
            <w:tcW w:w="6875" w:type="dxa"/>
            <w:shd w:val="clear" w:color="auto" w:fill="auto"/>
            <w:vAlign w:val="center"/>
          </w:tcPr>
          <w:p w14:paraId="78F3BE5A">
            <w:pPr>
              <w:adjustRightInd w:val="0"/>
              <w:spacing w:line="240" w:lineRule="auto"/>
              <w:ind w:firstLine="420" w:firstLineChars="200"/>
              <w:rPr>
                <w:rFonts w:hint="eastAsia" w:ascii="Times New Roman" w:hAnsi="Times New Roman" w:cs="Times New Roman" w:eastAsiaTheme="majorEastAsia"/>
                <w:szCs w:val="32"/>
                <w:lang w:val="en-US" w:eastAsia="zh-CN"/>
              </w:rPr>
            </w:pPr>
            <w:r>
              <w:rPr>
                <w:rFonts w:hint="eastAsia" w:ascii="Times New Roman" w:hAnsi="Times New Roman" w:cs="Times New Roman" w:eastAsiaTheme="majorEastAsia"/>
                <w:szCs w:val="21"/>
              </w:rPr>
              <w:t>现场查看该单位厂区内雨水井、雨排口，未见异常。同时，对周边河道进行巡查，未发现异常。</w:t>
            </w:r>
            <w:r>
              <w:rPr>
                <w:rFonts w:hint="eastAsia" w:ascii="Times New Roman" w:hAnsi="Times New Roman" w:cs="Times New Roman" w:eastAsiaTheme="majorEastAsia"/>
                <w:szCs w:val="21"/>
                <w:lang w:eastAsia="zh-CN"/>
              </w:rPr>
              <w:t>太仓生态环境局</w:t>
            </w:r>
            <w:r>
              <w:rPr>
                <w:rFonts w:hint="eastAsia" w:ascii="Times New Roman" w:hAnsi="Times New Roman" w:cs="Times New Roman" w:eastAsiaTheme="majorEastAsia"/>
                <w:szCs w:val="21"/>
              </w:rPr>
              <w:t>执法人员要求该单位做好日常环保管理工作。</w:t>
            </w:r>
          </w:p>
        </w:tc>
        <w:tc>
          <w:tcPr>
            <w:tcW w:w="1773" w:type="dxa"/>
            <w:vAlign w:val="center"/>
          </w:tcPr>
          <w:p w14:paraId="280E5F3B">
            <w:pPr>
              <w:adjustRightInd w:val="0"/>
              <w:spacing w:line="240" w:lineRule="auto"/>
              <w:rPr>
                <w:rFonts w:ascii="Times New Roman" w:hAnsi="Times New Roman" w:cs="Times New Roman" w:eastAsiaTheme="majorEastAsia"/>
                <w:szCs w:val="21"/>
              </w:rPr>
            </w:pPr>
          </w:p>
        </w:tc>
      </w:tr>
      <w:tr w14:paraId="79A6485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277" w:hRule="atLeast"/>
        </w:trPr>
        <w:tc>
          <w:tcPr>
            <w:tcW w:w="531" w:type="dxa"/>
            <w:shd w:val="clear" w:color="auto" w:fill="auto"/>
            <w:vAlign w:val="center"/>
          </w:tcPr>
          <w:p w14:paraId="468E3933">
            <w:pPr>
              <w:spacing w:line="240" w:lineRule="auto"/>
              <w:jc w:val="center"/>
              <w:rPr>
                <w:rFonts w:hint="default" w:ascii="宋体" w:hAnsi="宋体" w:eastAsia="宋体"/>
                <w:szCs w:val="21"/>
                <w:lang w:val="en-US" w:eastAsia="zh-CN"/>
              </w:rPr>
            </w:pPr>
            <w:r>
              <w:rPr>
                <w:rFonts w:hint="eastAsia" w:ascii="宋体" w:hAnsi="宋体" w:eastAsia="宋体"/>
                <w:szCs w:val="21"/>
                <w:lang w:val="en-US" w:eastAsia="zh-CN"/>
              </w:rPr>
              <w:t>4</w:t>
            </w:r>
          </w:p>
        </w:tc>
        <w:tc>
          <w:tcPr>
            <w:tcW w:w="1066" w:type="dxa"/>
            <w:shd w:val="clear" w:color="auto" w:fill="auto"/>
            <w:vAlign w:val="center"/>
          </w:tcPr>
          <w:p w14:paraId="23A31216">
            <w:pPr>
              <w:spacing w:line="240" w:lineRule="auto"/>
              <w:jc w:val="center"/>
              <w:rPr>
                <w:rFonts w:hint="eastAsia" w:ascii="宋体" w:hAnsi="宋体" w:eastAsia="宋体"/>
                <w:szCs w:val="21"/>
                <w:lang w:eastAsia="zh-CN"/>
              </w:rPr>
            </w:pPr>
            <w:r>
              <w:rPr>
                <w:rFonts w:hint="eastAsia" w:ascii="宋体" w:hAnsi="宋体" w:eastAsia="宋体"/>
                <w:szCs w:val="21"/>
                <w:lang w:eastAsia="zh-CN"/>
              </w:rPr>
              <w:t>昆山市</w:t>
            </w:r>
          </w:p>
        </w:tc>
        <w:tc>
          <w:tcPr>
            <w:tcW w:w="2976" w:type="dxa"/>
            <w:shd w:val="clear" w:color="auto" w:fill="auto"/>
            <w:vAlign w:val="center"/>
          </w:tcPr>
          <w:p w14:paraId="704823D1">
            <w:pPr>
              <w:spacing w:line="240" w:lineRule="auto"/>
              <w:rPr>
                <w:rFonts w:hint="eastAsia" w:ascii="Times New Roman" w:hAnsi="Times New Roman" w:cs="Times New Roman" w:eastAsiaTheme="majorEastAsia"/>
                <w:szCs w:val="32"/>
                <w:lang w:val="en-US" w:eastAsia="zh-CN"/>
              </w:rPr>
            </w:pPr>
            <w:r>
              <w:rPr>
                <w:rFonts w:hint="eastAsia" w:ascii="Times New Roman" w:hAnsi="Times New Roman" w:cs="Times New Roman" w:eastAsiaTheme="majorEastAsia"/>
                <w:szCs w:val="32"/>
              </w:rPr>
              <w:t>同丰路238号店铺湘辣记土菜馆，有两个大烟囱在居民楼上（樾城花园53栋），中午、晚上噪音特别大。</w:t>
            </w:r>
          </w:p>
        </w:tc>
        <w:tc>
          <w:tcPr>
            <w:tcW w:w="6875" w:type="dxa"/>
            <w:shd w:val="clear" w:color="auto" w:fill="auto"/>
            <w:vAlign w:val="center"/>
          </w:tcPr>
          <w:p w14:paraId="6A73CF2C">
            <w:pPr>
              <w:widowControl/>
              <w:spacing w:line="360" w:lineRule="exact"/>
              <w:ind w:firstLine="420" w:firstLineChars="200"/>
              <w:jc w:val="left"/>
              <w:rPr>
                <w:rFonts w:hint="eastAsia" w:ascii="Times New Roman" w:hAnsi="Times New Roman" w:cs="Times New Roman" w:eastAsiaTheme="majorEastAsia"/>
                <w:szCs w:val="32"/>
                <w:lang w:val="en-US" w:eastAsia="zh-CN"/>
              </w:rPr>
            </w:pPr>
            <w:r>
              <w:rPr>
                <w:rFonts w:hint="eastAsia" w:ascii="Times New Roman" w:hAnsi="Times New Roman" w:cs="Times New Roman" w:eastAsiaTheme="majorEastAsia"/>
                <w:szCs w:val="21"/>
                <w:lang w:eastAsia="zh-CN"/>
              </w:rPr>
              <w:t>昆山生态环境局</w:t>
            </w:r>
            <w:r>
              <w:rPr>
                <w:rFonts w:hint="eastAsia" w:ascii="Times New Roman" w:hAnsi="Times New Roman" w:cs="Times New Roman" w:eastAsiaTheme="majorEastAsia"/>
                <w:szCs w:val="21"/>
              </w:rPr>
              <w:t>执法人员于2025年7月22日对湘辣记土菜馆进行检查，该饭店厨房内有1台油烟机净化装置，1台蒸箱抽风装置，厨房窗户外侧有2个排气筒，检查时未在运行。执法人员要求负责人打开两套装置。其中油烟净化装置的噪声较为明显，蒸箱抽风装置未见明显异响，执法人员已要求该饭店负责人对油烟净化装置加强维护保养，减少噪声对周边居民的影响。</w:t>
            </w:r>
            <w:r>
              <w:rPr>
                <w:rFonts w:hint="eastAsia" w:ascii="Times New Roman" w:hAnsi="Times New Roman" w:eastAsia="仿宋_GB2312" w:cs="Times New Roman"/>
                <w:color w:val="000000"/>
                <w:kern w:val="0"/>
                <w:sz w:val="24"/>
                <w:szCs w:val="24"/>
              </w:rPr>
              <w:t xml:space="preserve"> </w:t>
            </w:r>
            <w:r>
              <w:rPr>
                <w:rFonts w:ascii="Times New Roman" w:hAnsi="Times New Roman" w:eastAsia="仿宋_GB2312" w:cs="Times New Roman"/>
                <w:color w:val="000000"/>
                <w:kern w:val="0"/>
                <w:sz w:val="24"/>
                <w:szCs w:val="24"/>
              </w:rPr>
              <w:t xml:space="preserve"> </w:t>
            </w:r>
          </w:p>
        </w:tc>
        <w:tc>
          <w:tcPr>
            <w:tcW w:w="1773" w:type="dxa"/>
            <w:vAlign w:val="center"/>
          </w:tcPr>
          <w:p w14:paraId="45CDC0FC">
            <w:pPr>
              <w:adjustRightInd w:val="0"/>
              <w:spacing w:line="240" w:lineRule="auto"/>
              <w:rPr>
                <w:rFonts w:ascii="Times New Roman" w:hAnsi="Times New Roman" w:cs="Times New Roman" w:eastAsiaTheme="majorEastAsia"/>
                <w:szCs w:val="21"/>
              </w:rPr>
            </w:pPr>
          </w:p>
        </w:tc>
      </w:tr>
      <w:tr w14:paraId="457D7A6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301" w:hRule="atLeast"/>
        </w:trPr>
        <w:tc>
          <w:tcPr>
            <w:tcW w:w="531" w:type="dxa"/>
            <w:shd w:val="clear" w:color="auto" w:fill="auto"/>
            <w:vAlign w:val="center"/>
          </w:tcPr>
          <w:p w14:paraId="0A7090DB">
            <w:pPr>
              <w:spacing w:line="240" w:lineRule="auto"/>
              <w:jc w:val="center"/>
              <w:rPr>
                <w:rFonts w:hint="default" w:ascii="宋体" w:hAnsi="宋体" w:eastAsia="宋体"/>
                <w:szCs w:val="21"/>
                <w:lang w:val="en-US" w:eastAsia="zh-CN"/>
              </w:rPr>
            </w:pPr>
            <w:r>
              <w:rPr>
                <w:rFonts w:hint="eastAsia" w:ascii="宋体" w:hAnsi="宋体" w:eastAsia="宋体"/>
                <w:szCs w:val="21"/>
                <w:lang w:val="en-US" w:eastAsia="zh-CN"/>
              </w:rPr>
              <w:t>5</w:t>
            </w:r>
          </w:p>
        </w:tc>
        <w:tc>
          <w:tcPr>
            <w:tcW w:w="1066" w:type="dxa"/>
            <w:shd w:val="clear" w:color="auto" w:fill="auto"/>
            <w:vAlign w:val="center"/>
          </w:tcPr>
          <w:p w14:paraId="411E885E">
            <w:pPr>
              <w:spacing w:line="240" w:lineRule="auto"/>
              <w:jc w:val="center"/>
              <w:rPr>
                <w:rFonts w:hint="eastAsia" w:ascii="宋体" w:hAnsi="宋体" w:eastAsia="宋体"/>
                <w:szCs w:val="21"/>
                <w:lang w:eastAsia="zh-CN"/>
              </w:rPr>
            </w:pPr>
            <w:r>
              <w:rPr>
                <w:rFonts w:hint="eastAsia" w:ascii="宋体" w:hAnsi="宋体" w:eastAsia="宋体"/>
                <w:szCs w:val="21"/>
                <w:lang w:eastAsia="zh-CN"/>
              </w:rPr>
              <w:t>吴江区</w:t>
            </w:r>
          </w:p>
        </w:tc>
        <w:tc>
          <w:tcPr>
            <w:tcW w:w="2976" w:type="dxa"/>
            <w:shd w:val="clear" w:color="auto" w:fill="auto"/>
            <w:vAlign w:val="center"/>
          </w:tcPr>
          <w:p w14:paraId="4E3D0070">
            <w:pPr>
              <w:spacing w:line="240" w:lineRule="auto"/>
              <w:rPr>
                <w:rFonts w:hint="eastAsia" w:ascii="Times New Roman" w:hAnsi="Times New Roman" w:cs="Times New Roman" w:eastAsiaTheme="majorEastAsia"/>
                <w:szCs w:val="32"/>
              </w:rPr>
            </w:pPr>
            <w:r>
              <w:rPr>
                <w:rFonts w:hint="eastAsia" w:ascii="Times New Roman" w:hAnsi="Times New Roman" w:cs="Times New Roman" w:eastAsiaTheme="majorEastAsia"/>
                <w:szCs w:val="32"/>
              </w:rPr>
              <w:t>市民反映东太湖度假区（太湖新城）八坼街道吴江大道/苏同黎公路(路口)上的吴江大道南北方向的光大垃圾站，很臭，故投诉，要求部门查看气味是否对身体产生影响，望部门处理。</w:t>
            </w:r>
          </w:p>
        </w:tc>
        <w:tc>
          <w:tcPr>
            <w:tcW w:w="6875" w:type="dxa"/>
            <w:shd w:val="clear" w:color="auto" w:fill="auto"/>
            <w:vAlign w:val="center"/>
          </w:tcPr>
          <w:p w14:paraId="315399E8">
            <w:pPr>
              <w:spacing w:line="240" w:lineRule="auto"/>
              <w:ind w:firstLine="420" w:firstLineChars="200"/>
              <w:rPr>
                <w:rFonts w:hint="eastAsia" w:ascii="Times New Roman" w:hAnsi="Times New Roman" w:cs="Times New Roman" w:eastAsiaTheme="majorEastAsia"/>
                <w:szCs w:val="32"/>
              </w:rPr>
            </w:pPr>
            <w:r>
              <w:rPr>
                <w:rFonts w:hint="eastAsia" w:ascii="Times New Roman" w:hAnsi="Times New Roman" w:cs="Times New Roman" w:eastAsiaTheme="majorEastAsia"/>
                <w:szCs w:val="21"/>
                <w:lang w:eastAsia="zh-CN"/>
              </w:rPr>
              <w:t>经与市民沟通，市民反映的吴江大道/苏同黎公路(路口)南侧垃圾站实为苏州吴江光大环保能源有限公司，该公司位于吴江区吴江大道南苏同黎公路西侧，主要从事生活垃圾焚烧发电项目，已配套相应的大气污染防治设施。近期，吴江生态环境局对该公司排放尾气开展监督性监测，监测结果显示为达标。同时，该公司尾气排放口安装有在线监测仪，与生态环境部门实时联网，查阅近期监测数据，未发现存在超标排放情况。下一步，吴江生态环境局将加强对该公司的监管。</w:t>
            </w:r>
          </w:p>
        </w:tc>
        <w:tc>
          <w:tcPr>
            <w:tcW w:w="1773" w:type="dxa"/>
            <w:vAlign w:val="center"/>
          </w:tcPr>
          <w:p w14:paraId="080B4F2C">
            <w:pPr>
              <w:adjustRightInd w:val="0"/>
              <w:spacing w:line="240" w:lineRule="auto"/>
              <w:rPr>
                <w:rFonts w:ascii="Times New Roman" w:hAnsi="Times New Roman" w:cs="Times New Roman" w:eastAsiaTheme="majorEastAsia"/>
                <w:szCs w:val="21"/>
              </w:rPr>
            </w:pPr>
          </w:p>
        </w:tc>
      </w:tr>
      <w:tr w14:paraId="1FD2432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313" w:hRule="atLeast"/>
        </w:trPr>
        <w:tc>
          <w:tcPr>
            <w:tcW w:w="531" w:type="dxa"/>
            <w:shd w:val="clear" w:color="auto" w:fill="auto"/>
            <w:vAlign w:val="center"/>
          </w:tcPr>
          <w:p w14:paraId="7F4BDDAB">
            <w:pPr>
              <w:spacing w:line="240" w:lineRule="auto"/>
              <w:jc w:val="center"/>
              <w:rPr>
                <w:rFonts w:hint="default" w:ascii="宋体" w:hAnsi="宋体" w:eastAsia="宋体"/>
                <w:szCs w:val="21"/>
                <w:lang w:val="en-US" w:eastAsia="zh-CN"/>
              </w:rPr>
            </w:pPr>
            <w:r>
              <w:rPr>
                <w:rFonts w:hint="eastAsia" w:ascii="宋体" w:hAnsi="宋体" w:eastAsia="宋体"/>
                <w:szCs w:val="21"/>
                <w:lang w:val="en-US" w:eastAsia="zh-CN"/>
              </w:rPr>
              <w:t>6</w:t>
            </w:r>
          </w:p>
        </w:tc>
        <w:tc>
          <w:tcPr>
            <w:tcW w:w="1066" w:type="dxa"/>
            <w:shd w:val="clear" w:color="auto" w:fill="auto"/>
            <w:vAlign w:val="center"/>
          </w:tcPr>
          <w:p w14:paraId="70348C81">
            <w:pPr>
              <w:spacing w:line="240" w:lineRule="auto"/>
              <w:jc w:val="center"/>
              <w:rPr>
                <w:rFonts w:hint="eastAsia" w:ascii="宋体" w:hAnsi="宋体" w:eastAsia="宋体"/>
                <w:szCs w:val="21"/>
                <w:lang w:eastAsia="zh-CN"/>
              </w:rPr>
            </w:pPr>
            <w:r>
              <w:rPr>
                <w:rFonts w:hint="eastAsia" w:ascii="宋体" w:hAnsi="宋体" w:eastAsia="宋体"/>
                <w:szCs w:val="21"/>
                <w:lang w:eastAsia="zh-CN"/>
              </w:rPr>
              <w:t>吴中区</w:t>
            </w:r>
          </w:p>
        </w:tc>
        <w:tc>
          <w:tcPr>
            <w:tcW w:w="2976" w:type="dxa"/>
            <w:shd w:val="clear" w:color="auto" w:fill="auto"/>
            <w:vAlign w:val="center"/>
          </w:tcPr>
          <w:p w14:paraId="6CC2C711">
            <w:pPr>
              <w:spacing w:line="240" w:lineRule="auto"/>
              <w:rPr>
                <w:rFonts w:hint="eastAsia" w:ascii="Times New Roman" w:hAnsi="Times New Roman" w:cs="Times New Roman" w:eastAsiaTheme="majorEastAsia"/>
                <w:szCs w:val="32"/>
                <w:lang w:val="en-US" w:eastAsia="zh-CN"/>
              </w:rPr>
            </w:pPr>
            <w:r>
              <w:rPr>
                <w:rFonts w:hint="eastAsia" w:ascii="Times New Roman" w:hAnsi="Times New Roman" w:cs="Times New Roman" w:eastAsiaTheme="majorEastAsia"/>
                <w:szCs w:val="32"/>
                <w:lang w:val="en-US" w:eastAsia="zh-CN"/>
              </w:rPr>
              <w:t>苏州精隽自动化科技有限公司违规使用镭射机镭胶皮，污染环境。</w:t>
            </w:r>
          </w:p>
        </w:tc>
        <w:tc>
          <w:tcPr>
            <w:tcW w:w="6875" w:type="dxa"/>
            <w:shd w:val="clear" w:color="auto" w:fill="auto"/>
            <w:vAlign w:val="center"/>
          </w:tcPr>
          <w:p w14:paraId="493448F8">
            <w:pPr>
              <w:spacing w:line="240" w:lineRule="auto"/>
              <w:ind w:firstLine="420" w:firstLineChars="200"/>
              <w:rPr>
                <w:rFonts w:hint="eastAsia" w:ascii="Times New Roman" w:hAnsi="Times New Roman" w:cs="Times New Roman" w:eastAsiaTheme="majorEastAsia"/>
                <w:szCs w:val="32"/>
                <w:lang w:val="en-US" w:eastAsia="zh-CN"/>
              </w:rPr>
            </w:pPr>
            <w:r>
              <w:rPr>
                <w:rFonts w:hint="eastAsia" w:ascii="Times New Roman" w:hAnsi="Times New Roman" w:cs="Times New Roman" w:eastAsiaTheme="majorEastAsia"/>
                <w:szCs w:val="21"/>
                <w:lang w:val="en-US" w:eastAsia="zh-CN"/>
              </w:rPr>
              <w:t>经查，投诉</w:t>
            </w:r>
            <w:r>
              <w:rPr>
                <w:rFonts w:hint="default" w:ascii="Times New Roman" w:hAnsi="Times New Roman" w:cs="Times New Roman" w:eastAsiaTheme="majorEastAsia"/>
                <w:szCs w:val="21"/>
                <w:lang w:val="en-US" w:eastAsia="zh-CN"/>
              </w:rPr>
              <w:t>人反映为苏州精隽自动化科技有限公司，主要从事CNC机加工，现场有两台镭射机，其中一台用于铝板镭射刻字已配套安装集尘器，另一台用于胶皮镭射刻字，根据《建设项目环境影响评价分类管理名录》及相关规定，该单位无需办理环评手续。现场检查时，该单位正在生产，该单位负责人表示其将保留一台镭射机用于铝板镭射刻字，</w:t>
            </w:r>
            <w:r>
              <w:rPr>
                <w:rFonts w:hint="eastAsia" w:ascii="Times New Roman" w:hAnsi="Times New Roman" w:cs="Times New Roman" w:eastAsiaTheme="majorEastAsia"/>
                <w:szCs w:val="21"/>
                <w:lang w:val="en-US" w:eastAsia="zh-CN"/>
              </w:rPr>
              <w:t>吴中生态环境局</w:t>
            </w:r>
            <w:r>
              <w:rPr>
                <w:rFonts w:hint="default" w:ascii="Times New Roman" w:hAnsi="Times New Roman" w:cs="Times New Roman" w:eastAsiaTheme="majorEastAsia"/>
                <w:szCs w:val="21"/>
                <w:lang w:val="en-US" w:eastAsia="zh-CN"/>
              </w:rPr>
              <w:t>执法人员已现场要求其使用镭射机时须同步开启集尘器，减少环境影响。</w:t>
            </w:r>
          </w:p>
        </w:tc>
        <w:tc>
          <w:tcPr>
            <w:tcW w:w="1773" w:type="dxa"/>
            <w:vAlign w:val="center"/>
          </w:tcPr>
          <w:p w14:paraId="75596FF7">
            <w:pPr>
              <w:adjustRightInd w:val="0"/>
              <w:spacing w:line="240" w:lineRule="auto"/>
              <w:rPr>
                <w:rFonts w:ascii="Times New Roman" w:hAnsi="Times New Roman" w:cs="Times New Roman" w:eastAsiaTheme="majorEastAsia"/>
                <w:szCs w:val="21"/>
              </w:rPr>
            </w:pPr>
          </w:p>
        </w:tc>
      </w:tr>
      <w:tr w14:paraId="20BEA94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735" w:hRule="atLeast"/>
        </w:trPr>
        <w:tc>
          <w:tcPr>
            <w:tcW w:w="531" w:type="dxa"/>
            <w:shd w:val="clear" w:color="auto" w:fill="auto"/>
            <w:vAlign w:val="center"/>
          </w:tcPr>
          <w:p w14:paraId="7DE85F65">
            <w:pPr>
              <w:spacing w:line="240" w:lineRule="auto"/>
              <w:jc w:val="center"/>
              <w:rPr>
                <w:rFonts w:hint="default" w:ascii="宋体" w:hAnsi="宋体" w:eastAsia="宋体"/>
                <w:szCs w:val="21"/>
                <w:lang w:val="en-US" w:eastAsia="zh-CN"/>
              </w:rPr>
            </w:pPr>
            <w:r>
              <w:rPr>
                <w:rFonts w:hint="eastAsia" w:ascii="宋体" w:hAnsi="宋体" w:eastAsia="宋体"/>
                <w:szCs w:val="21"/>
                <w:lang w:val="en-US" w:eastAsia="zh-CN"/>
              </w:rPr>
              <w:t>7</w:t>
            </w:r>
          </w:p>
        </w:tc>
        <w:tc>
          <w:tcPr>
            <w:tcW w:w="1066" w:type="dxa"/>
            <w:shd w:val="clear" w:color="auto" w:fill="auto"/>
            <w:vAlign w:val="center"/>
          </w:tcPr>
          <w:p w14:paraId="4729B4DE">
            <w:pPr>
              <w:spacing w:line="240" w:lineRule="auto"/>
              <w:jc w:val="center"/>
              <w:rPr>
                <w:rFonts w:hint="eastAsia" w:ascii="宋体" w:hAnsi="宋体" w:eastAsia="宋体"/>
                <w:szCs w:val="21"/>
                <w:lang w:eastAsia="zh-CN"/>
              </w:rPr>
            </w:pPr>
            <w:r>
              <w:rPr>
                <w:rFonts w:hint="eastAsia" w:ascii="宋体" w:hAnsi="宋体" w:eastAsia="宋体"/>
                <w:szCs w:val="21"/>
                <w:lang w:eastAsia="zh-CN"/>
              </w:rPr>
              <w:t>相城区</w:t>
            </w:r>
          </w:p>
        </w:tc>
        <w:tc>
          <w:tcPr>
            <w:tcW w:w="2976" w:type="dxa"/>
            <w:shd w:val="clear" w:color="auto" w:fill="auto"/>
            <w:vAlign w:val="center"/>
          </w:tcPr>
          <w:p w14:paraId="65194E65">
            <w:pPr>
              <w:spacing w:line="240" w:lineRule="auto"/>
              <w:rPr>
                <w:rFonts w:hint="eastAsia" w:ascii="Times New Roman" w:hAnsi="Times New Roman" w:cs="Times New Roman" w:eastAsiaTheme="majorEastAsia"/>
                <w:szCs w:val="32"/>
                <w:lang w:val="en-US" w:eastAsia="zh-CN"/>
              </w:rPr>
            </w:pPr>
            <w:r>
              <w:rPr>
                <w:rFonts w:hint="eastAsia" w:ascii="Times New Roman" w:hAnsi="Times New Roman" w:cs="Times New Roman" w:eastAsiaTheme="majorEastAsia"/>
                <w:szCs w:val="32"/>
                <w:lang w:val="en-US" w:eastAsia="zh-CN"/>
              </w:rPr>
              <w:t>苏州市相城区渭塘镇玉盘家园三区82号楼北面渭北村工业小区内噪声扰民。</w:t>
            </w:r>
          </w:p>
        </w:tc>
        <w:tc>
          <w:tcPr>
            <w:tcW w:w="6875" w:type="dxa"/>
            <w:shd w:val="clear" w:color="auto" w:fill="auto"/>
            <w:vAlign w:val="center"/>
          </w:tcPr>
          <w:p w14:paraId="743976B0">
            <w:pPr>
              <w:spacing w:line="240" w:lineRule="auto"/>
              <w:ind w:firstLine="420" w:firstLineChars="200"/>
              <w:rPr>
                <w:rFonts w:hint="eastAsia" w:ascii="Times New Roman" w:hAnsi="Times New Roman" w:cs="Times New Roman" w:eastAsiaTheme="majorEastAsia"/>
                <w:szCs w:val="32"/>
                <w:lang w:val="en-US" w:eastAsia="zh-CN"/>
              </w:rPr>
            </w:pPr>
            <w:r>
              <w:rPr>
                <w:rFonts w:hint="eastAsia" w:ascii="Times New Roman" w:hAnsi="Times New Roman" w:cs="Times New Roman" w:eastAsiaTheme="majorEastAsia"/>
                <w:szCs w:val="21"/>
                <w:lang w:eastAsia="zh-CN"/>
              </w:rPr>
              <w:t>2025年7月22日，对举报人反映的地点开展调查。经查，该工业园内的品胜新材料科技（苏州）有限公司离玉盘家园82幢较近。现场检查时，该企业正在生产。企业负责人</w:t>
            </w:r>
            <w:r>
              <w:rPr>
                <w:rFonts w:hint="eastAsia" w:ascii="Times New Roman" w:hAnsi="Times New Roman" w:cs="Times New Roman" w:eastAsiaTheme="majorEastAsia"/>
                <w:szCs w:val="21"/>
                <w:lang w:val="en-US" w:eastAsia="zh-CN"/>
              </w:rPr>
              <w:t>已将</w:t>
            </w:r>
            <w:r>
              <w:rPr>
                <w:rFonts w:hint="eastAsia" w:ascii="Times New Roman" w:hAnsi="Times New Roman" w:cs="Times New Roman" w:eastAsiaTheme="majorEastAsia"/>
                <w:szCs w:val="21"/>
                <w:lang w:eastAsia="zh-CN"/>
              </w:rPr>
              <w:t>空压机搬离至居民区较远的区域并设置降噪措施。现场已要求企业继续做好噪声防护工作，合理安排生产时间和强度，努力减少噪声对周边居民影响。</w:t>
            </w:r>
          </w:p>
        </w:tc>
        <w:tc>
          <w:tcPr>
            <w:tcW w:w="1773" w:type="dxa"/>
            <w:vAlign w:val="center"/>
          </w:tcPr>
          <w:p w14:paraId="239013A8">
            <w:pPr>
              <w:adjustRightInd w:val="0"/>
              <w:spacing w:line="240" w:lineRule="auto"/>
              <w:rPr>
                <w:rFonts w:ascii="Times New Roman" w:hAnsi="Times New Roman" w:cs="Times New Roman" w:eastAsiaTheme="majorEastAsia"/>
                <w:szCs w:val="21"/>
              </w:rPr>
            </w:pPr>
          </w:p>
        </w:tc>
      </w:tr>
      <w:tr w14:paraId="43FCEB1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432" w:hRule="atLeast"/>
        </w:trPr>
        <w:tc>
          <w:tcPr>
            <w:tcW w:w="531" w:type="dxa"/>
            <w:shd w:val="clear" w:color="auto" w:fill="auto"/>
            <w:vAlign w:val="center"/>
          </w:tcPr>
          <w:p w14:paraId="39B5CB2A">
            <w:pPr>
              <w:spacing w:line="240" w:lineRule="auto"/>
              <w:jc w:val="center"/>
              <w:rPr>
                <w:rFonts w:hint="default" w:ascii="宋体" w:hAnsi="宋体" w:eastAsia="宋体"/>
                <w:szCs w:val="21"/>
                <w:lang w:val="en-US" w:eastAsia="zh-CN"/>
              </w:rPr>
            </w:pPr>
            <w:r>
              <w:rPr>
                <w:rFonts w:hint="eastAsia" w:ascii="宋体" w:hAnsi="宋体" w:eastAsia="宋体"/>
                <w:szCs w:val="21"/>
                <w:lang w:val="en-US" w:eastAsia="zh-CN"/>
              </w:rPr>
              <w:t>8</w:t>
            </w:r>
          </w:p>
        </w:tc>
        <w:tc>
          <w:tcPr>
            <w:tcW w:w="1066" w:type="dxa"/>
            <w:shd w:val="clear" w:color="auto" w:fill="auto"/>
            <w:vAlign w:val="center"/>
          </w:tcPr>
          <w:p w14:paraId="0DA0A726">
            <w:pPr>
              <w:spacing w:line="240" w:lineRule="auto"/>
              <w:jc w:val="center"/>
              <w:rPr>
                <w:rFonts w:hint="eastAsia" w:ascii="宋体" w:hAnsi="宋体" w:eastAsia="宋体"/>
                <w:szCs w:val="21"/>
                <w:lang w:eastAsia="zh-CN"/>
              </w:rPr>
            </w:pPr>
            <w:r>
              <w:rPr>
                <w:rFonts w:hint="eastAsia" w:ascii="宋体" w:hAnsi="宋体" w:eastAsia="宋体"/>
                <w:szCs w:val="21"/>
                <w:lang w:eastAsia="zh-CN"/>
              </w:rPr>
              <w:t>姑苏区</w:t>
            </w:r>
          </w:p>
        </w:tc>
        <w:tc>
          <w:tcPr>
            <w:tcW w:w="2976" w:type="dxa"/>
            <w:shd w:val="clear" w:color="auto" w:fill="auto"/>
            <w:vAlign w:val="center"/>
          </w:tcPr>
          <w:p w14:paraId="65C03F93">
            <w:pPr>
              <w:spacing w:line="240" w:lineRule="auto"/>
              <w:rPr>
                <w:rFonts w:hint="default" w:ascii="Times New Roman" w:hAnsi="Times New Roman" w:cs="Times New Roman" w:eastAsiaTheme="majorEastAsia"/>
                <w:szCs w:val="32"/>
                <w:lang w:val="en-US" w:eastAsia="zh-CN"/>
              </w:rPr>
            </w:pPr>
            <w:r>
              <w:rPr>
                <w:rFonts w:hint="eastAsia" w:ascii="Times New Roman" w:hAnsi="Times New Roman" w:cs="Times New Roman" w:eastAsiaTheme="majorEastAsia"/>
                <w:szCs w:val="32"/>
                <w:lang w:val="en-US" w:eastAsia="zh-CN"/>
              </w:rPr>
              <w:t>燕家巷15号装修改造施工扰民。</w:t>
            </w:r>
          </w:p>
        </w:tc>
        <w:tc>
          <w:tcPr>
            <w:tcW w:w="6875" w:type="dxa"/>
            <w:shd w:val="clear" w:color="auto" w:fill="auto"/>
            <w:vAlign w:val="center"/>
          </w:tcPr>
          <w:p w14:paraId="2AF04B53">
            <w:pPr>
              <w:keepNext w:val="0"/>
              <w:keepLines w:val="0"/>
              <w:widowControl/>
              <w:suppressLineNumbers w:val="0"/>
              <w:jc w:val="left"/>
              <w:textAlignment w:val="center"/>
              <w:rPr>
                <w:rFonts w:hint="eastAsia" w:ascii="Times New Roman" w:hAnsi="Times New Roman" w:cs="Times New Roman" w:eastAsiaTheme="majorEastAsia"/>
                <w:szCs w:val="32"/>
                <w:lang w:val="en-US" w:eastAsia="zh-CN"/>
              </w:rPr>
            </w:pPr>
            <w:r>
              <w:rPr>
                <w:rFonts w:hint="eastAsia" w:ascii="宋体" w:hAnsi="宋体" w:eastAsia="宋体" w:cs="宋体"/>
                <w:i w:val="0"/>
                <w:iCs w:val="0"/>
                <w:color w:val="000000"/>
                <w:kern w:val="0"/>
                <w:sz w:val="20"/>
                <w:szCs w:val="20"/>
                <w:u w:val="none"/>
                <w:lang w:val="en-US" w:eastAsia="zh-CN" w:bidi="ar"/>
              </w:rPr>
              <w:t xml:space="preserve"> </w:t>
            </w:r>
            <w:r>
              <w:rPr>
                <w:rFonts w:hint="eastAsia" w:ascii="Times New Roman" w:hAnsi="Times New Roman" w:cs="Times New Roman" w:eastAsiaTheme="majorEastAsia"/>
                <w:szCs w:val="21"/>
                <w:lang w:val="en-US" w:eastAsia="zh-CN"/>
              </w:rPr>
              <w:t xml:space="preserve">   7月15日姑苏生态环境局工作人员现场检查，该项目为燕家巷15号装修改造施工，施工方为花鸟亭建筑装饰有限公司，现场负责人表示该项目高噪声阶段已基本结束，后续施工主要为入驻商家自行内部装修，不再开展夜间施工。</w:t>
            </w:r>
            <w:r>
              <w:rPr>
                <w:rFonts w:hint="eastAsia" w:ascii="Times New Roman" w:hAnsi="Times New Roman" w:cs="Times New Roman" w:eastAsiaTheme="majorEastAsia"/>
                <w:szCs w:val="21"/>
                <w:lang w:val="en-US" w:eastAsia="zh-CN"/>
              </w:rPr>
              <w:br w:type="textWrapping"/>
            </w:r>
            <w:r>
              <w:rPr>
                <w:rFonts w:hint="eastAsia" w:ascii="Times New Roman" w:hAnsi="Times New Roman" w:cs="Times New Roman" w:eastAsiaTheme="majorEastAsia"/>
                <w:szCs w:val="21"/>
                <w:lang w:val="en-US" w:eastAsia="zh-CN"/>
              </w:rPr>
              <w:t xml:space="preserve">    姑苏生态环境局工作人员要求施工单位严格遵守《中华人民共和国噪声污染防治法》和《苏州市建筑施工噪声污染防治管理规定》的规定：夜间22点以后到早上6点之前禁止施工。如果投诉人在夜间（22:00—次日6:00）遇到噪声扰民困扰，请直接拨打12345夜间值班电话，执法人员将至现场进行查处。</w:t>
            </w:r>
          </w:p>
        </w:tc>
        <w:tc>
          <w:tcPr>
            <w:tcW w:w="1773" w:type="dxa"/>
            <w:vAlign w:val="center"/>
          </w:tcPr>
          <w:p w14:paraId="6FBCE74E">
            <w:pPr>
              <w:adjustRightInd w:val="0"/>
              <w:spacing w:line="240" w:lineRule="auto"/>
              <w:rPr>
                <w:rFonts w:ascii="Times New Roman" w:hAnsi="Times New Roman" w:cs="Times New Roman" w:eastAsiaTheme="majorEastAsia"/>
                <w:szCs w:val="21"/>
              </w:rPr>
            </w:pPr>
          </w:p>
        </w:tc>
      </w:tr>
      <w:tr w14:paraId="3868B3A5">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682" w:hRule="atLeast"/>
        </w:trPr>
        <w:tc>
          <w:tcPr>
            <w:tcW w:w="531" w:type="dxa"/>
            <w:shd w:val="clear" w:color="auto" w:fill="auto"/>
            <w:vAlign w:val="center"/>
          </w:tcPr>
          <w:p w14:paraId="4E3F6548">
            <w:pPr>
              <w:spacing w:line="240" w:lineRule="auto"/>
              <w:jc w:val="center"/>
              <w:rPr>
                <w:rFonts w:hint="default" w:ascii="宋体" w:hAnsi="宋体" w:eastAsia="宋体"/>
                <w:szCs w:val="21"/>
                <w:lang w:val="en-US" w:eastAsia="zh-CN"/>
              </w:rPr>
            </w:pPr>
            <w:r>
              <w:rPr>
                <w:rFonts w:hint="eastAsia" w:ascii="宋体" w:hAnsi="宋体" w:eastAsia="宋体"/>
                <w:szCs w:val="21"/>
                <w:lang w:val="en-US" w:eastAsia="zh-CN"/>
              </w:rPr>
              <w:t>9</w:t>
            </w:r>
          </w:p>
        </w:tc>
        <w:tc>
          <w:tcPr>
            <w:tcW w:w="1066" w:type="dxa"/>
            <w:shd w:val="clear" w:color="auto" w:fill="auto"/>
            <w:vAlign w:val="center"/>
          </w:tcPr>
          <w:p w14:paraId="1712F10B">
            <w:pPr>
              <w:spacing w:line="240" w:lineRule="auto"/>
              <w:jc w:val="center"/>
              <w:rPr>
                <w:rFonts w:hint="eastAsia" w:ascii="Times New Roman" w:hAnsi="Times New Roman" w:cs="Times New Roman" w:eastAsiaTheme="majorEastAsia"/>
                <w:szCs w:val="32"/>
                <w:lang w:val="en-US" w:eastAsia="zh-CN"/>
              </w:rPr>
            </w:pPr>
            <w:r>
              <w:rPr>
                <w:rFonts w:hint="eastAsia" w:ascii="Times New Roman" w:hAnsi="Times New Roman" w:cs="Times New Roman" w:eastAsiaTheme="majorEastAsia"/>
                <w:szCs w:val="32"/>
                <w:lang w:val="en-US" w:eastAsia="zh-CN"/>
              </w:rPr>
              <w:t>工业园区</w:t>
            </w:r>
          </w:p>
        </w:tc>
        <w:tc>
          <w:tcPr>
            <w:tcW w:w="2976" w:type="dxa"/>
            <w:shd w:val="clear" w:color="auto" w:fill="auto"/>
            <w:vAlign w:val="center"/>
          </w:tcPr>
          <w:p w14:paraId="7F6E546E">
            <w:pPr>
              <w:spacing w:line="240" w:lineRule="auto"/>
              <w:rPr>
                <w:rFonts w:hint="eastAsia" w:ascii="Times New Roman" w:hAnsi="Times New Roman" w:cs="Times New Roman" w:eastAsiaTheme="majorEastAsia"/>
                <w:szCs w:val="21"/>
                <w:lang w:val="en-US" w:eastAsia="zh-CN"/>
              </w:rPr>
            </w:pPr>
            <w:r>
              <w:rPr>
                <w:rFonts w:hint="eastAsia" w:ascii="Times New Roman" w:hAnsi="Times New Roman" w:cs="Times New Roman" w:eastAsiaTheme="majorEastAsia"/>
                <w:szCs w:val="32"/>
                <w:lang w:val="en-US" w:eastAsia="zh-CN"/>
              </w:rPr>
              <w:t>反映苏州外延世电子材料有限公司排放异味问题。</w:t>
            </w:r>
          </w:p>
        </w:tc>
        <w:tc>
          <w:tcPr>
            <w:tcW w:w="6875" w:type="dxa"/>
            <w:shd w:val="clear" w:color="auto" w:fill="auto"/>
            <w:vAlign w:val="center"/>
          </w:tcPr>
          <w:p w14:paraId="01168319">
            <w:pPr>
              <w:keepNext w:val="0"/>
              <w:keepLines w:val="0"/>
              <w:widowControl/>
              <w:suppressLineNumbers w:val="0"/>
              <w:ind w:firstLine="420" w:firstLineChars="200"/>
              <w:jc w:val="left"/>
              <w:textAlignment w:val="center"/>
              <w:rPr>
                <w:rFonts w:hint="eastAsia" w:ascii="Times New Roman" w:hAnsi="Times New Roman" w:cs="Times New Roman" w:eastAsiaTheme="majorEastAsia"/>
                <w:szCs w:val="21"/>
                <w:lang w:val="en-US" w:eastAsia="zh-CN"/>
              </w:rPr>
            </w:pPr>
            <w:r>
              <w:rPr>
                <w:rFonts w:hint="eastAsia" w:ascii="Times New Roman" w:hAnsi="Times New Roman" w:cs="Times New Roman" w:eastAsiaTheme="majorEastAsia"/>
                <w:szCs w:val="21"/>
                <w:lang w:val="en-US" w:eastAsia="zh-CN"/>
              </w:rPr>
              <w:t>接投诉后，执法人员至现场检查，检查时，苏州外延世电子材料有限公司正在生产，阳极氧化工序处于生产状态，P1排气筒（投诉人提供的图片中显示的排气筒）对应的废气处理设施正常运行，该公司提供了废气处理设施点检记录。执法人员对该公司厂区开展异味巡查，未发现明显异味。现场委托第三方检测公司苏州环优检测有限公司对该公司P1排气筒采集样品一份，检测因子为硫酸雾、氮氧化物。根据检测报告结果显示，监测数据均符合相关排放标准限值。</w:t>
            </w:r>
          </w:p>
          <w:p w14:paraId="748C4164">
            <w:pPr>
              <w:keepNext w:val="0"/>
              <w:keepLines w:val="0"/>
              <w:widowControl/>
              <w:suppressLineNumbers w:val="0"/>
              <w:ind w:firstLine="420" w:firstLineChars="200"/>
              <w:jc w:val="left"/>
              <w:textAlignment w:val="center"/>
              <w:rPr>
                <w:rFonts w:hint="eastAsia" w:ascii="Times New Roman" w:hAnsi="Times New Roman" w:cs="Times New Roman" w:eastAsiaTheme="majorEastAsia"/>
                <w:szCs w:val="21"/>
                <w:lang w:val="en-US" w:eastAsia="zh-CN"/>
              </w:rPr>
            </w:pPr>
            <w:r>
              <w:rPr>
                <w:rFonts w:hint="eastAsia" w:ascii="Times New Roman" w:hAnsi="Times New Roman" w:cs="Times New Roman" w:eastAsiaTheme="majorEastAsia"/>
                <w:szCs w:val="21"/>
                <w:lang w:val="en-US" w:eastAsia="zh-CN"/>
              </w:rPr>
              <w:t>执法人员要求该公司持续落实环境管理，做好废气处理设施的点检和维护，减少生产废气对周边影响。园区环保部门将继续加强对辖区内企业的环境监管，对发现的环境违法行为从严查处。</w:t>
            </w:r>
          </w:p>
        </w:tc>
        <w:tc>
          <w:tcPr>
            <w:tcW w:w="1773" w:type="dxa"/>
            <w:vAlign w:val="center"/>
          </w:tcPr>
          <w:p w14:paraId="73DF4F11">
            <w:pPr>
              <w:adjustRightInd w:val="0"/>
              <w:spacing w:line="240" w:lineRule="auto"/>
              <w:rPr>
                <w:rFonts w:ascii="Times New Roman" w:hAnsi="Times New Roman" w:cs="Times New Roman" w:eastAsiaTheme="majorEastAsia"/>
                <w:szCs w:val="21"/>
              </w:rPr>
            </w:pPr>
          </w:p>
        </w:tc>
      </w:tr>
      <w:tr w14:paraId="70652EC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200" w:hRule="atLeast"/>
        </w:trPr>
        <w:tc>
          <w:tcPr>
            <w:tcW w:w="531" w:type="dxa"/>
            <w:shd w:val="clear" w:color="auto" w:fill="auto"/>
            <w:vAlign w:val="center"/>
          </w:tcPr>
          <w:p w14:paraId="5E6DF793">
            <w:pPr>
              <w:spacing w:line="240" w:lineRule="auto"/>
              <w:jc w:val="center"/>
              <w:rPr>
                <w:rFonts w:hint="default" w:ascii="宋体" w:hAnsi="宋体" w:eastAsia="宋体"/>
                <w:szCs w:val="21"/>
                <w:lang w:val="en-US" w:eastAsia="zh-CN"/>
              </w:rPr>
            </w:pPr>
            <w:r>
              <w:rPr>
                <w:rFonts w:hint="eastAsia" w:ascii="宋体" w:hAnsi="宋体" w:eastAsia="宋体"/>
                <w:szCs w:val="21"/>
                <w:lang w:val="en-US" w:eastAsia="zh-CN"/>
              </w:rPr>
              <w:t>10</w:t>
            </w:r>
          </w:p>
        </w:tc>
        <w:tc>
          <w:tcPr>
            <w:tcW w:w="1066" w:type="dxa"/>
            <w:shd w:val="clear" w:color="auto" w:fill="auto"/>
            <w:vAlign w:val="center"/>
          </w:tcPr>
          <w:p w14:paraId="0EBFAD21">
            <w:pPr>
              <w:spacing w:line="240" w:lineRule="auto"/>
              <w:jc w:val="center"/>
              <w:rPr>
                <w:rFonts w:hint="eastAsia" w:ascii="宋体" w:hAnsi="宋体" w:eastAsia="宋体"/>
                <w:szCs w:val="21"/>
                <w:lang w:eastAsia="zh-CN"/>
              </w:rPr>
            </w:pPr>
            <w:r>
              <w:rPr>
                <w:rFonts w:hint="eastAsia" w:ascii="宋体" w:hAnsi="宋体" w:eastAsia="宋体"/>
                <w:szCs w:val="21"/>
                <w:lang w:eastAsia="zh-CN"/>
              </w:rPr>
              <w:t>高新区</w:t>
            </w:r>
          </w:p>
        </w:tc>
        <w:tc>
          <w:tcPr>
            <w:tcW w:w="2976" w:type="dxa"/>
            <w:shd w:val="clear" w:color="auto" w:fill="auto"/>
            <w:vAlign w:val="center"/>
          </w:tcPr>
          <w:p w14:paraId="13EFF056">
            <w:pPr>
              <w:spacing w:line="240" w:lineRule="auto"/>
              <w:rPr>
                <w:rFonts w:hint="eastAsia" w:ascii="Times New Roman" w:hAnsi="Times New Roman" w:cs="Times New Roman" w:eastAsiaTheme="majorEastAsia"/>
                <w:szCs w:val="32"/>
                <w:lang w:val="en-US" w:eastAsia="zh-CN"/>
              </w:rPr>
            </w:pPr>
            <w:r>
              <w:rPr>
                <w:rFonts w:hint="eastAsia" w:ascii="Times New Roman" w:hAnsi="Times New Roman" w:cs="Times New Roman" w:eastAsiaTheme="majorEastAsia"/>
                <w:szCs w:val="32"/>
                <w:lang w:val="en-US" w:eastAsia="zh-CN"/>
              </w:rPr>
              <w:t>服务对象来电反映：晚上19:00多高新区漓江路与雁荡山路交叉口中日兴通讯有限公司存在废气排放造成污染，希望相关部门处理。</w:t>
            </w:r>
          </w:p>
        </w:tc>
        <w:tc>
          <w:tcPr>
            <w:tcW w:w="6875" w:type="dxa"/>
            <w:shd w:val="clear" w:color="auto" w:fill="auto"/>
            <w:vAlign w:val="center"/>
          </w:tcPr>
          <w:p w14:paraId="3269EEEB">
            <w:pPr>
              <w:keepNext w:val="0"/>
              <w:keepLines w:val="0"/>
              <w:widowControl/>
              <w:suppressLineNumbers w:val="0"/>
              <w:ind w:firstLine="400" w:firstLineChars="200"/>
              <w:jc w:val="left"/>
              <w:textAlignment w:val="center"/>
              <w:rPr>
                <w:rFonts w:hint="eastAsia" w:ascii="Times New Roman" w:hAnsi="Times New Roman" w:cs="Times New Roman" w:eastAsiaTheme="majorEastAsia"/>
                <w:szCs w:val="32"/>
                <w:lang w:val="en-US" w:eastAsia="zh-CN"/>
              </w:rPr>
            </w:pPr>
            <w:r>
              <w:rPr>
                <w:rFonts w:hint="eastAsia" w:ascii="宋体" w:hAnsi="宋体" w:eastAsia="宋体" w:cs="宋体"/>
                <w:i w:val="0"/>
                <w:iCs w:val="0"/>
                <w:color w:val="000000"/>
                <w:kern w:val="0"/>
                <w:sz w:val="20"/>
                <w:szCs w:val="20"/>
                <w:u w:val="none"/>
                <w:lang w:val="en-US" w:eastAsia="zh-CN" w:bidi="ar"/>
              </w:rPr>
              <w:t>苏州中日兴通讯有限公司主要从事精密模具、模具标准件的研发加工，主要生产废气为压铸车间熔化废气和脱模废气。前期苏州高新区生态环境局多次对中日兴公司开展废气监督性监测，监测结果均符合国家标准。公司于2024年7月在压铸脱模工段新增两套“初、中、高效三层机械过滤”治理设施，并将熔化废气治理设施由过滤棉+活性炭设备改为板式+袋式二级干式过滤。2025年3月中日兴公司邀请了专业厂商，对公司熔化废气治理设施进行提升改造，目前已建设完成开始调试。2025年7月3日、5日，苏州高新区生态环境综合行政执法局执法人员前往厂区周边进行巡查，未发现有异常气味。苏州高新区生态环境局也将继续加强对该区域内企业的日常环境监管，督促区域内公司积极开展环保自查自纠工作，做好污染防治设施的维护保养，确保污染防治设施稳定运行，污染物达标排放。投诉人如还有问题可拨打值班电话18913199799以便解决问题。</w:t>
            </w:r>
          </w:p>
        </w:tc>
        <w:tc>
          <w:tcPr>
            <w:tcW w:w="1773" w:type="dxa"/>
            <w:vAlign w:val="center"/>
          </w:tcPr>
          <w:p w14:paraId="0A3218E6">
            <w:pPr>
              <w:adjustRightInd w:val="0"/>
              <w:spacing w:line="240" w:lineRule="auto"/>
              <w:rPr>
                <w:rFonts w:ascii="Times New Roman" w:hAnsi="Times New Roman" w:cs="Times New Roman" w:eastAsiaTheme="majorEastAsia"/>
                <w:szCs w:val="21"/>
              </w:rPr>
            </w:pPr>
          </w:p>
        </w:tc>
      </w:tr>
    </w:tbl>
    <w:p w14:paraId="7A1DF744">
      <w:pPr>
        <w:spacing w:line="240" w:lineRule="auto"/>
        <w:rPr>
          <w:rFonts w:hint="eastAsia" w:asciiTheme="minorEastAsia" w:hAnsiTheme="minorEastAsia"/>
          <w:szCs w:val="21"/>
        </w:rPr>
      </w:pPr>
    </w:p>
    <w:sectPr>
      <w:pgSz w:w="16838" w:h="11906" w:orient="landscape"/>
      <w:pgMar w:top="1560" w:right="1440" w:bottom="1418" w:left="144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Cambria">
    <w:panose1 w:val="02040503050406030204"/>
    <w:charset w:val="00"/>
    <w:family w:val="roman"/>
    <w:pitch w:val="default"/>
    <w:sig w:usb0="A00002EF" w:usb1="4000004B" w:usb2="00000000" w:usb3="00000000" w:csb0="2000019F" w:csb1="00000000"/>
  </w:font>
  <w:font w:name="仿宋">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5C4F0B"/>
    <w:rsid w:val="000027D4"/>
    <w:rsid w:val="000055B7"/>
    <w:rsid w:val="00007CF9"/>
    <w:rsid w:val="000129BD"/>
    <w:rsid w:val="000134B2"/>
    <w:rsid w:val="0001624C"/>
    <w:rsid w:val="000179F5"/>
    <w:rsid w:val="00017CFE"/>
    <w:rsid w:val="00021508"/>
    <w:rsid w:val="0002242B"/>
    <w:rsid w:val="00023A1E"/>
    <w:rsid w:val="00024D76"/>
    <w:rsid w:val="0002544D"/>
    <w:rsid w:val="00025466"/>
    <w:rsid w:val="000259E1"/>
    <w:rsid w:val="00027B14"/>
    <w:rsid w:val="000336FC"/>
    <w:rsid w:val="00035407"/>
    <w:rsid w:val="00035D45"/>
    <w:rsid w:val="00036AAD"/>
    <w:rsid w:val="000406E4"/>
    <w:rsid w:val="00041A3F"/>
    <w:rsid w:val="00042406"/>
    <w:rsid w:val="00043871"/>
    <w:rsid w:val="00046F63"/>
    <w:rsid w:val="0004709C"/>
    <w:rsid w:val="000503B2"/>
    <w:rsid w:val="00050664"/>
    <w:rsid w:val="00053572"/>
    <w:rsid w:val="000564D7"/>
    <w:rsid w:val="0006462C"/>
    <w:rsid w:val="00071321"/>
    <w:rsid w:val="000719B2"/>
    <w:rsid w:val="00073001"/>
    <w:rsid w:val="00073E9C"/>
    <w:rsid w:val="00075D63"/>
    <w:rsid w:val="0007675D"/>
    <w:rsid w:val="00076D63"/>
    <w:rsid w:val="00076EDF"/>
    <w:rsid w:val="0008052C"/>
    <w:rsid w:val="00082BCB"/>
    <w:rsid w:val="00082FBD"/>
    <w:rsid w:val="00086142"/>
    <w:rsid w:val="00090F0B"/>
    <w:rsid w:val="000915CA"/>
    <w:rsid w:val="00097CAB"/>
    <w:rsid w:val="000A27CD"/>
    <w:rsid w:val="000A3442"/>
    <w:rsid w:val="000A5F60"/>
    <w:rsid w:val="000A6B7A"/>
    <w:rsid w:val="000B0457"/>
    <w:rsid w:val="000B05E0"/>
    <w:rsid w:val="000B144D"/>
    <w:rsid w:val="000B5ABA"/>
    <w:rsid w:val="000B78AF"/>
    <w:rsid w:val="000C6155"/>
    <w:rsid w:val="000C787A"/>
    <w:rsid w:val="000D2CF9"/>
    <w:rsid w:val="000D44B6"/>
    <w:rsid w:val="000D5E69"/>
    <w:rsid w:val="000E0088"/>
    <w:rsid w:val="000E06EB"/>
    <w:rsid w:val="000E5DC1"/>
    <w:rsid w:val="000E5E0E"/>
    <w:rsid w:val="000E722C"/>
    <w:rsid w:val="000E75F8"/>
    <w:rsid w:val="000F00B9"/>
    <w:rsid w:val="000F0FDD"/>
    <w:rsid w:val="000F10E8"/>
    <w:rsid w:val="000F2618"/>
    <w:rsid w:val="000F49C7"/>
    <w:rsid w:val="000F6351"/>
    <w:rsid w:val="000F64B8"/>
    <w:rsid w:val="000F65BE"/>
    <w:rsid w:val="000F66E3"/>
    <w:rsid w:val="000F67AF"/>
    <w:rsid w:val="0010017C"/>
    <w:rsid w:val="0010302F"/>
    <w:rsid w:val="00103700"/>
    <w:rsid w:val="001054BB"/>
    <w:rsid w:val="00111B5E"/>
    <w:rsid w:val="00113423"/>
    <w:rsid w:val="001145A7"/>
    <w:rsid w:val="00114B20"/>
    <w:rsid w:val="001159FC"/>
    <w:rsid w:val="00117CD8"/>
    <w:rsid w:val="00121D46"/>
    <w:rsid w:val="00125BD9"/>
    <w:rsid w:val="001305C5"/>
    <w:rsid w:val="001325F7"/>
    <w:rsid w:val="001342AD"/>
    <w:rsid w:val="00134C86"/>
    <w:rsid w:val="00137B56"/>
    <w:rsid w:val="00140C60"/>
    <w:rsid w:val="0014112E"/>
    <w:rsid w:val="00141924"/>
    <w:rsid w:val="00141987"/>
    <w:rsid w:val="00143480"/>
    <w:rsid w:val="00144F0B"/>
    <w:rsid w:val="00147440"/>
    <w:rsid w:val="0015047C"/>
    <w:rsid w:val="001565AE"/>
    <w:rsid w:val="00157F7D"/>
    <w:rsid w:val="00160502"/>
    <w:rsid w:val="00164EC3"/>
    <w:rsid w:val="001651A7"/>
    <w:rsid w:val="00165732"/>
    <w:rsid w:val="00166194"/>
    <w:rsid w:val="00167857"/>
    <w:rsid w:val="00172AD8"/>
    <w:rsid w:val="00173675"/>
    <w:rsid w:val="00180511"/>
    <w:rsid w:val="0018262E"/>
    <w:rsid w:val="00183AC2"/>
    <w:rsid w:val="001840D0"/>
    <w:rsid w:val="00184168"/>
    <w:rsid w:val="001842D9"/>
    <w:rsid w:val="0018592D"/>
    <w:rsid w:val="00185C49"/>
    <w:rsid w:val="00186A01"/>
    <w:rsid w:val="00187835"/>
    <w:rsid w:val="00187C39"/>
    <w:rsid w:val="001916EF"/>
    <w:rsid w:val="00193381"/>
    <w:rsid w:val="001942E1"/>
    <w:rsid w:val="0019575C"/>
    <w:rsid w:val="001A0EF4"/>
    <w:rsid w:val="001A3E5B"/>
    <w:rsid w:val="001A46FD"/>
    <w:rsid w:val="001A4904"/>
    <w:rsid w:val="001A5766"/>
    <w:rsid w:val="001A5A84"/>
    <w:rsid w:val="001A6DB0"/>
    <w:rsid w:val="001A6F22"/>
    <w:rsid w:val="001A7719"/>
    <w:rsid w:val="001B0E6C"/>
    <w:rsid w:val="001B6F71"/>
    <w:rsid w:val="001C3441"/>
    <w:rsid w:val="001C4414"/>
    <w:rsid w:val="001C7341"/>
    <w:rsid w:val="001C7B95"/>
    <w:rsid w:val="001D2078"/>
    <w:rsid w:val="001D3A4F"/>
    <w:rsid w:val="001D77B6"/>
    <w:rsid w:val="001E02CB"/>
    <w:rsid w:val="001E301A"/>
    <w:rsid w:val="001E30EB"/>
    <w:rsid w:val="001F2638"/>
    <w:rsid w:val="001F4961"/>
    <w:rsid w:val="001F628C"/>
    <w:rsid w:val="001F6724"/>
    <w:rsid w:val="0020013C"/>
    <w:rsid w:val="0020349C"/>
    <w:rsid w:val="002038F3"/>
    <w:rsid w:val="00204966"/>
    <w:rsid w:val="00205850"/>
    <w:rsid w:val="0021006E"/>
    <w:rsid w:val="00210788"/>
    <w:rsid w:val="00211ADC"/>
    <w:rsid w:val="00212C22"/>
    <w:rsid w:val="00214BD8"/>
    <w:rsid w:val="00215595"/>
    <w:rsid w:val="00215E18"/>
    <w:rsid w:val="00217158"/>
    <w:rsid w:val="00220E2D"/>
    <w:rsid w:val="00225E89"/>
    <w:rsid w:val="00225E8D"/>
    <w:rsid w:val="00226047"/>
    <w:rsid w:val="00226B71"/>
    <w:rsid w:val="00227707"/>
    <w:rsid w:val="0023283E"/>
    <w:rsid w:val="00232909"/>
    <w:rsid w:val="00233415"/>
    <w:rsid w:val="00233658"/>
    <w:rsid w:val="002379B9"/>
    <w:rsid w:val="00237A6D"/>
    <w:rsid w:val="002405F5"/>
    <w:rsid w:val="00242FD3"/>
    <w:rsid w:val="00246134"/>
    <w:rsid w:val="00246EC7"/>
    <w:rsid w:val="00251F83"/>
    <w:rsid w:val="00251FA6"/>
    <w:rsid w:val="00252B74"/>
    <w:rsid w:val="002536D1"/>
    <w:rsid w:val="00257554"/>
    <w:rsid w:val="00261AB1"/>
    <w:rsid w:val="002625AC"/>
    <w:rsid w:val="00262765"/>
    <w:rsid w:val="00264F4E"/>
    <w:rsid w:val="00270855"/>
    <w:rsid w:val="00270B9E"/>
    <w:rsid w:val="00276A4C"/>
    <w:rsid w:val="0027757C"/>
    <w:rsid w:val="00277CBC"/>
    <w:rsid w:val="00284E47"/>
    <w:rsid w:val="00285DFC"/>
    <w:rsid w:val="00287FCC"/>
    <w:rsid w:val="002971D4"/>
    <w:rsid w:val="002A3199"/>
    <w:rsid w:val="002A710A"/>
    <w:rsid w:val="002A7FD7"/>
    <w:rsid w:val="002B0E14"/>
    <w:rsid w:val="002B178B"/>
    <w:rsid w:val="002B21E4"/>
    <w:rsid w:val="002B45FE"/>
    <w:rsid w:val="002B529B"/>
    <w:rsid w:val="002B66FC"/>
    <w:rsid w:val="002B740C"/>
    <w:rsid w:val="002B7B61"/>
    <w:rsid w:val="002B7B85"/>
    <w:rsid w:val="002C1345"/>
    <w:rsid w:val="002C37FC"/>
    <w:rsid w:val="002C3930"/>
    <w:rsid w:val="002C3DA1"/>
    <w:rsid w:val="002C495C"/>
    <w:rsid w:val="002C4995"/>
    <w:rsid w:val="002C4CC3"/>
    <w:rsid w:val="002C5465"/>
    <w:rsid w:val="002C5A4A"/>
    <w:rsid w:val="002C68B0"/>
    <w:rsid w:val="002D4BCC"/>
    <w:rsid w:val="002D740A"/>
    <w:rsid w:val="002E3FF5"/>
    <w:rsid w:val="002E4480"/>
    <w:rsid w:val="002E7AF3"/>
    <w:rsid w:val="002E7D1C"/>
    <w:rsid w:val="002F0A2C"/>
    <w:rsid w:val="002F369D"/>
    <w:rsid w:val="002F3CAB"/>
    <w:rsid w:val="0030112A"/>
    <w:rsid w:val="003030E2"/>
    <w:rsid w:val="0030578D"/>
    <w:rsid w:val="003079C4"/>
    <w:rsid w:val="00307FA3"/>
    <w:rsid w:val="00310996"/>
    <w:rsid w:val="00312890"/>
    <w:rsid w:val="00315195"/>
    <w:rsid w:val="00316A04"/>
    <w:rsid w:val="00321033"/>
    <w:rsid w:val="00324E03"/>
    <w:rsid w:val="00326F5C"/>
    <w:rsid w:val="003278D3"/>
    <w:rsid w:val="00327BD4"/>
    <w:rsid w:val="00333E37"/>
    <w:rsid w:val="00334FF7"/>
    <w:rsid w:val="00341CCE"/>
    <w:rsid w:val="00346713"/>
    <w:rsid w:val="00350D00"/>
    <w:rsid w:val="00352685"/>
    <w:rsid w:val="00352693"/>
    <w:rsid w:val="00353FDB"/>
    <w:rsid w:val="003547B6"/>
    <w:rsid w:val="0035502E"/>
    <w:rsid w:val="00357AAA"/>
    <w:rsid w:val="00360B02"/>
    <w:rsid w:val="00361CC0"/>
    <w:rsid w:val="003650C7"/>
    <w:rsid w:val="00367D89"/>
    <w:rsid w:val="003713B5"/>
    <w:rsid w:val="00371FC9"/>
    <w:rsid w:val="0037345C"/>
    <w:rsid w:val="003750F5"/>
    <w:rsid w:val="00375E2E"/>
    <w:rsid w:val="003806AC"/>
    <w:rsid w:val="00380A2D"/>
    <w:rsid w:val="0038292B"/>
    <w:rsid w:val="00383E81"/>
    <w:rsid w:val="003863AA"/>
    <w:rsid w:val="003904E8"/>
    <w:rsid w:val="00391BB8"/>
    <w:rsid w:val="0039460B"/>
    <w:rsid w:val="0039523B"/>
    <w:rsid w:val="00396D66"/>
    <w:rsid w:val="00397EA8"/>
    <w:rsid w:val="003A1295"/>
    <w:rsid w:val="003A13AC"/>
    <w:rsid w:val="003A24DF"/>
    <w:rsid w:val="003A26C5"/>
    <w:rsid w:val="003A6644"/>
    <w:rsid w:val="003C0FA4"/>
    <w:rsid w:val="003C2173"/>
    <w:rsid w:val="003C2DEE"/>
    <w:rsid w:val="003C3117"/>
    <w:rsid w:val="003C50E1"/>
    <w:rsid w:val="003C7BC9"/>
    <w:rsid w:val="003C7E2A"/>
    <w:rsid w:val="003D1123"/>
    <w:rsid w:val="003D4D1A"/>
    <w:rsid w:val="003D6997"/>
    <w:rsid w:val="003E0A1A"/>
    <w:rsid w:val="003E5632"/>
    <w:rsid w:val="003E6164"/>
    <w:rsid w:val="003E7E7F"/>
    <w:rsid w:val="003F33B8"/>
    <w:rsid w:val="003F3687"/>
    <w:rsid w:val="003F3D6F"/>
    <w:rsid w:val="003F473A"/>
    <w:rsid w:val="003F660F"/>
    <w:rsid w:val="003F688B"/>
    <w:rsid w:val="00400B92"/>
    <w:rsid w:val="00402A91"/>
    <w:rsid w:val="0040315D"/>
    <w:rsid w:val="004032DB"/>
    <w:rsid w:val="0040406F"/>
    <w:rsid w:val="004215C3"/>
    <w:rsid w:val="00422734"/>
    <w:rsid w:val="00424902"/>
    <w:rsid w:val="00425430"/>
    <w:rsid w:val="004265D9"/>
    <w:rsid w:val="00431849"/>
    <w:rsid w:val="00432D65"/>
    <w:rsid w:val="00433320"/>
    <w:rsid w:val="00433BE6"/>
    <w:rsid w:val="0043479A"/>
    <w:rsid w:val="00434822"/>
    <w:rsid w:val="004349F2"/>
    <w:rsid w:val="00435F52"/>
    <w:rsid w:val="00436ED8"/>
    <w:rsid w:val="004374F2"/>
    <w:rsid w:val="00440957"/>
    <w:rsid w:val="00443AFF"/>
    <w:rsid w:val="004443D4"/>
    <w:rsid w:val="00444407"/>
    <w:rsid w:val="00444AE8"/>
    <w:rsid w:val="00444EC6"/>
    <w:rsid w:val="004518F6"/>
    <w:rsid w:val="00452891"/>
    <w:rsid w:val="004530E8"/>
    <w:rsid w:val="00453713"/>
    <w:rsid w:val="004541F2"/>
    <w:rsid w:val="00455891"/>
    <w:rsid w:val="00455E94"/>
    <w:rsid w:val="00457FC0"/>
    <w:rsid w:val="00463262"/>
    <w:rsid w:val="00464AAB"/>
    <w:rsid w:val="00467991"/>
    <w:rsid w:val="00467AF0"/>
    <w:rsid w:val="00473151"/>
    <w:rsid w:val="004743B4"/>
    <w:rsid w:val="0047636D"/>
    <w:rsid w:val="00476600"/>
    <w:rsid w:val="0048208F"/>
    <w:rsid w:val="004865C2"/>
    <w:rsid w:val="00487266"/>
    <w:rsid w:val="004930DC"/>
    <w:rsid w:val="00493624"/>
    <w:rsid w:val="00493EC4"/>
    <w:rsid w:val="00494ADA"/>
    <w:rsid w:val="00494C9C"/>
    <w:rsid w:val="00494ED4"/>
    <w:rsid w:val="00495A8B"/>
    <w:rsid w:val="00495ABE"/>
    <w:rsid w:val="00496093"/>
    <w:rsid w:val="004A0266"/>
    <w:rsid w:val="004A19AB"/>
    <w:rsid w:val="004A4620"/>
    <w:rsid w:val="004A67FB"/>
    <w:rsid w:val="004B75E0"/>
    <w:rsid w:val="004C066D"/>
    <w:rsid w:val="004C2A6B"/>
    <w:rsid w:val="004C3D02"/>
    <w:rsid w:val="004C7E54"/>
    <w:rsid w:val="004D1372"/>
    <w:rsid w:val="004D2475"/>
    <w:rsid w:val="004D791D"/>
    <w:rsid w:val="004E6474"/>
    <w:rsid w:val="004E7ADA"/>
    <w:rsid w:val="004F0B43"/>
    <w:rsid w:val="004F6E85"/>
    <w:rsid w:val="00505A13"/>
    <w:rsid w:val="0050645A"/>
    <w:rsid w:val="00507AAD"/>
    <w:rsid w:val="00511526"/>
    <w:rsid w:val="00516564"/>
    <w:rsid w:val="00520837"/>
    <w:rsid w:val="005213D1"/>
    <w:rsid w:val="0052175E"/>
    <w:rsid w:val="0052251B"/>
    <w:rsid w:val="00525369"/>
    <w:rsid w:val="00525599"/>
    <w:rsid w:val="005330F8"/>
    <w:rsid w:val="005340CA"/>
    <w:rsid w:val="00537080"/>
    <w:rsid w:val="00537357"/>
    <w:rsid w:val="0053799F"/>
    <w:rsid w:val="00544BDB"/>
    <w:rsid w:val="00545B90"/>
    <w:rsid w:val="005470D4"/>
    <w:rsid w:val="00551B27"/>
    <w:rsid w:val="00551EA6"/>
    <w:rsid w:val="00552833"/>
    <w:rsid w:val="00552923"/>
    <w:rsid w:val="00552B43"/>
    <w:rsid w:val="0055556D"/>
    <w:rsid w:val="00557C2D"/>
    <w:rsid w:val="00557FAF"/>
    <w:rsid w:val="0056111C"/>
    <w:rsid w:val="00564F6C"/>
    <w:rsid w:val="00565610"/>
    <w:rsid w:val="00573028"/>
    <w:rsid w:val="0057315F"/>
    <w:rsid w:val="005805CA"/>
    <w:rsid w:val="00581522"/>
    <w:rsid w:val="00582031"/>
    <w:rsid w:val="00582F79"/>
    <w:rsid w:val="00582FB2"/>
    <w:rsid w:val="0058552A"/>
    <w:rsid w:val="00586978"/>
    <w:rsid w:val="00590B12"/>
    <w:rsid w:val="005926C0"/>
    <w:rsid w:val="005967EF"/>
    <w:rsid w:val="005A32EB"/>
    <w:rsid w:val="005A4A9E"/>
    <w:rsid w:val="005A7147"/>
    <w:rsid w:val="005B0532"/>
    <w:rsid w:val="005B1A91"/>
    <w:rsid w:val="005B3BD1"/>
    <w:rsid w:val="005B462B"/>
    <w:rsid w:val="005B5116"/>
    <w:rsid w:val="005B6AC1"/>
    <w:rsid w:val="005B6E01"/>
    <w:rsid w:val="005B727D"/>
    <w:rsid w:val="005B76F6"/>
    <w:rsid w:val="005B7E69"/>
    <w:rsid w:val="005C3773"/>
    <w:rsid w:val="005C4CD8"/>
    <w:rsid w:val="005C4F0B"/>
    <w:rsid w:val="005C51B8"/>
    <w:rsid w:val="005C79B1"/>
    <w:rsid w:val="005C7E63"/>
    <w:rsid w:val="005D00A4"/>
    <w:rsid w:val="005D3D79"/>
    <w:rsid w:val="005D4463"/>
    <w:rsid w:val="005D452A"/>
    <w:rsid w:val="005D5789"/>
    <w:rsid w:val="005D5895"/>
    <w:rsid w:val="005D673A"/>
    <w:rsid w:val="005E2F8B"/>
    <w:rsid w:val="005E50B3"/>
    <w:rsid w:val="005E5F54"/>
    <w:rsid w:val="005E6855"/>
    <w:rsid w:val="005E724B"/>
    <w:rsid w:val="005F3C59"/>
    <w:rsid w:val="005F403E"/>
    <w:rsid w:val="005F4EAF"/>
    <w:rsid w:val="005F73B9"/>
    <w:rsid w:val="005F76C9"/>
    <w:rsid w:val="0060130A"/>
    <w:rsid w:val="00601423"/>
    <w:rsid w:val="00602756"/>
    <w:rsid w:val="0060490C"/>
    <w:rsid w:val="0060539B"/>
    <w:rsid w:val="00606619"/>
    <w:rsid w:val="00607D3F"/>
    <w:rsid w:val="00610E45"/>
    <w:rsid w:val="00611369"/>
    <w:rsid w:val="006115E0"/>
    <w:rsid w:val="00612CC3"/>
    <w:rsid w:val="00617F3B"/>
    <w:rsid w:val="00621AB4"/>
    <w:rsid w:val="00623F8C"/>
    <w:rsid w:val="00624E49"/>
    <w:rsid w:val="00626891"/>
    <w:rsid w:val="00626B17"/>
    <w:rsid w:val="006300FF"/>
    <w:rsid w:val="00632C9B"/>
    <w:rsid w:val="00633418"/>
    <w:rsid w:val="00637186"/>
    <w:rsid w:val="00641414"/>
    <w:rsid w:val="0064154C"/>
    <w:rsid w:val="006415C3"/>
    <w:rsid w:val="006416EC"/>
    <w:rsid w:val="00641BE9"/>
    <w:rsid w:val="00647567"/>
    <w:rsid w:val="006479D8"/>
    <w:rsid w:val="006539A8"/>
    <w:rsid w:val="006541A0"/>
    <w:rsid w:val="00655A75"/>
    <w:rsid w:val="00655D81"/>
    <w:rsid w:val="00656798"/>
    <w:rsid w:val="006638EF"/>
    <w:rsid w:val="00664B96"/>
    <w:rsid w:val="00667575"/>
    <w:rsid w:val="00667D9D"/>
    <w:rsid w:val="00673DEC"/>
    <w:rsid w:val="00674B0D"/>
    <w:rsid w:val="00674D24"/>
    <w:rsid w:val="00677C5A"/>
    <w:rsid w:val="00680EB9"/>
    <w:rsid w:val="00684F5B"/>
    <w:rsid w:val="00685D6C"/>
    <w:rsid w:val="0068618B"/>
    <w:rsid w:val="00686BB6"/>
    <w:rsid w:val="00687F2C"/>
    <w:rsid w:val="0069136C"/>
    <w:rsid w:val="00691C9B"/>
    <w:rsid w:val="006921D7"/>
    <w:rsid w:val="00693CF7"/>
    <w:rsid w:val="0069402C"/>
    <w:rsid w:val="006A1651"/>
    <w:rsid w:val="006A166D"/>
    <w:rsid w:val="006A5660"/>
    <w:rsid w:val="006A7E17"/>
    <w:rsid w:val="006B0431"/>
    <w:rsid w:val="006B0C79"/>
    <w:rsid w:val="006B101A"/>
    <w:rsid w:val="006B12BB"/>
    <w:rsid w:val="006B2184"/>
    <w:rsid w:val="006B308B"/>
    <w:rsid w:val="006B34F0"/>
    <w:rsid w:val="006B5917"/>
    <w:rsid w:val="006B608A"/>
    <w:rsid w:val="006C006F"/>
    <w:rsid w:val="006C0D2D"/>
    <w:rsid w:val="006C558E"/>
    <w:rsid w:val="006C629A"/>
    <w:rsid w:val="006D2F08"/>
    <w:rsid w:val="006D554D"/>
    <w:rsid w:val="006D5598"/>
    <w:rsid w:val="006D78E8"/>
    <w:rsid w:val="006D7919"/>
    <w:rsid w:val="006E1022"/>
    <w:rsid w:val="006E2CB3"/>
    <w:rsid w:val="006E3536"/>
    <w:rsid w:val="006E4006"/>
    <w:rsid w:val="006E7F3C"/>
    <w:rsid w:val="006F0A6F"/>
    <w:rsid w:val="006F24A7"/>
    <w:rsid w:val="006F2ECA"/>
    <w:rsid w:val="006F3E46"/>
    <w:rsid w:val="006F3FA2"/>
    <w:rsid w:val="006F551A"/>
    <w:rsid w:val="006F640B"/>
    <w:rsid w:val="006F66BB"/>
    <w:rsid w:val="00701F44"/>
    <w:rsid w:val="0070398D"/>
    <w:rsid w:val="0070407A"/>
    <w:rsid w:val="00705E22"/>
    <w:rsid w:val="007061B9"/>
    <w:rsid w:val="0070741A"/>
    <w:rsid w:val="00707600"/>
    <w:rsid w:val="00711881"/>
    <w:rsid w:val="00715E5D"/>
    <w:rsid w:val="007215FB"/>
    <w:rsid w:val="00722DDC"/>
    <w:rsid w:val="00726817"/>
    <w:rsid w:val="00730470"/>
    <w:rsid w:val="007329C0"/>
    <w:rsid w:val="00733FA1"/>
    <w:rsid w:val="007354BF"/>
    <w:rsid w:val="007362F2"/>
    <w:rsid w:val="00745555"/>
    <w:rsid w:val="00745DCF"/>
    <w:rsid w:val="0074631C"/>
    <w:rsid w:val="00750A4B"/>
    <w:rsid w:val="0075437B"/>
    <w:rsid w:val="007544DD"/>
    <w:rsid w:val="00754F21"/>
    <w:rsid w:val="0075602F"/>
    <w:rsid w:val="00756A70"/>
    <w:rsid w:val="007634E7"/>
    <w:rsid w:val="007652FC"/>
    <w:rsid w:val="00765C1B"/>
    <w:rsid w:val="00766F5C"/>
    <w:rsid w:val="00767D7B"/>
    <w:rsid w:val="0077029F"/>
    <w:rsid w:val="00771865"/>
    <w:rsid w:val="00771CAE"/>
    <w:rsid w:val="0077251F"/>
    <w:rsid w:val="007776C8"/>
    <w:rsid w:val="00780EE2"/>
    <w:rsid w:val="00780FD6"/>
    <w:rsid w:val="00781321"/>
    <w:rsid w:val="0078289F"/>
    <w:rsid w:val="00783280"/>
    <w:rsid w:val="00783D7C"/>
    <w:rsid w:val="00783E76"/>
    <w:rsid w:val="007873EC"/>
    <w:rsid w:val="00791706"/>
    <w:rsid w:val="00794ABE"/>
    <w:rsid w:val="007953A7"/>
    <w:rsid w:val="00796EB1"/>
    <w:rsid w:val="007A03A1"/>
    <w:rsid w:val="007A2BF8"/>
    <w:rsid w:val="007A3976"/>
    <w:rsid w:val="007A488C"/>
    <w:rsid w:val="007A53B8"/>
    <w:rsid w:val="007A7E27"/>
    <w:rsid w:val="007B03FC"/>
    <w:rsid w:val="007B09D6"/>
    <w:rsid w:val="007B4E3E"/>
    <w:rsid w:val="007B54A1"/>
    <w:rsid w:val="007B5B77"/>
    <w:rsid w:val="007C1918"/>
    <w:rsid w:val="007C40A0"/>
    <w:rsid w:val="007C4B55"/>
    <w:rsid w:val="007C5A21"/>
    <w:rsid w:val="007C62EE"/>
    <w:rsid w:val="007D3773"/>
    <w:rsid w:val="007D3FA5"/>
    <w:rsid w:val="007D41EE"/>
    <w:rsid w:val="007D4D0E"/>
    <w:rsid w:val="007D64C9"/>
    <w:rsid w:val="007D7BE1"/>
    <w:rsid w:val="007E1867"/>
    <w:rsid w:val="007E1FC7"/>
    <w:rsid w:val="007E304E"/>
    <w:rsid w:val="007E5FA3"/>
    <w:rsid w:val="007E6A6C"/>
    <w:rsid w:val="007F3125"/>
    <w:rsid w:val="007F3B8F"/>
    <w:rsid w:val="007F496F"/>
    <w:rsid w:val="007F4B21"/>
    <w:rsid w:val="007F5677"/>
    <w:rsid w:val="007F5937"/>
    <w:rsid w:val="007F765C"/>
    <w:rsid w:val="00801BCD"/>
    <w:rsid w:val="0080430F"/>
    <w:rsid w:val="0080672F"/>
    <w:rsid w:val="0081097E"/>
    <w:rsid w:val="00811DB3"/>
    <w:rsid w:val="008124F3"/>
    <w:rsid w:val="00813BC0"/>
    <w:rsid w:val="008203DE"/>
    <w:rsid w:val="00820FFF"/>
    <w:rsid w:val="00821C05"/>
    <w:rsid w:val="00822597"/>
    <w:rsid w:val="0082350C"/>
    <w:rsid w:val="00823A5D"/>
    <w:rsid w:val="008262F5"/>
    <w:rsid w:val="00826EDB"/>
    <w:rsid w:val="00830DC7"/>
    <w:rsid w:val="00831D38"/>
    <w:rsid w:val="00832A58"/>
    <w:rsid w:val="008336C5"/>
    <w:rsid w:val="00834636"/>
    <w:rsid w:val="00835FA6"/>
    <w:rsid w:val="00837E6C"/>
    <w:rsid w:val="00840E15"/>
    <w:rsid w:val="00843703"/>
    <w:rsid w:val="00845507"/>
    <w:rsid w:val="00846334"/>
    <w:rsid w:val="00851673"/>
    <w:rsid w:val="008531B5"/>
    <w:rsid w:val="00853794"/>
    <w:rsid w:val="00857193"/>
    <w:rsid w:val="008579CA"/>
    <w:rsid w:val="00857FEA"/>
    <w:rsid w:val="00860F32"/>
    <w:rsid w:val="0086602A"/>
    <w:rsid w:val="00870995"/>
    <w:rsid w:val="00872E92"/>
    <w:rsid w:val="0087352D"/>
    <w:rsid w:val="00873B24"/>
    <w:rsid w:val="008746AD"/>
    <w:rsid w:val="00875E9F"/>
    <w:rsid w:val="00883B2D"/>
    <w:rsid w:val="0088449D"/>
    <w:rsid w:val="00885ACF"/>
    <w:rsid w:val="00891666"/>
    <w:rsid w:val="00891C9D"/>
    <w:rsid w:val="00893488"/>
    <w:rsid w:val="00895A2F"/>
    <w:rsid w:val="008A0AB7"/>
    <w:rsid w:val="008A0EEB"/>
    <w:rsid w:val="008A214C"/>
    <w:rsid w:val="008A4BEF"/>
    <w:rsid w:val="008A55F3"/>
    <w:rsid w:val="008B1F01"/>
    <w:rsid w:val="008B2426"/>
    <w:rsid w:val="008B46D3"/>
    <w:rsid w:val="008B4C25"/>
    <w:rsid w:val="008B56AE"/>
    <w:rsid w:val="008B6D7D"/>
    <w:rsid w:val="008B7299"/>
    <w:rsid w:val="008C2124"/>
    <w:rsid w:val="008C2CDE"/>
    <w:rsid w:val="008C35A5"/>
    <w:rsid w:val="008C4EA7"/>
    <w:rsid w:val="008D0302"/>
    <w:rsid w:val="008D1084"/>
    <w:rsid w:val="008D125C"/>
    <w:rsid w:val="008D16AA"/>
    <w:rsid w:val="008D16B9"/>
    <w:rsid w:val="008D35EA"/>
    <w:rsid w:val="008D3F4A"/>
    <w:rsid w:val="008D46E7"/>
    <w:rsid w:val="008D619E"/>
    <w:rsid w:val="008E0479"/>
    <w:rsid w:val="008E10C3"/>
    <w:rsid w:val="008E2644"/>
    <w:rsid w:val="008E3702"/>
    <w:rsid w:val="008F0F89"/>
    <w:rsid w:val="008F3ADF"/>
    <w:rsid w:val="008F5B0F"/>
    <w:rsid w:val="009012E1"/>
    <w:rsid w:val="00901574"/>
    <w:rsid w:val="00901B1A"/>
    <w:rsid w:val="00901BC3"/>
    <w:rsid w:val="0090300E"/>
    <w:rsid w:val="00903160"/>
    <w:rsid w:val="00905614"/>
    <w:rsid w:val="0091008B"/>
    <w:rsid w:val="0091665D"/>
    <w:rsid w:val="009217DA"/>
    <w:rsid w:val="00922008"/>
    <w:rsid w:val="00923C85"/>
    <w:rsid w:val="009246CA"/>
    <w:rsid w:val="009250A3"/>
    <w:rsid w:val="00927AD8"/>
    <w:rsid w:val="00931B62"/>
    <w:rsid w:val="00931DD8"/>
    <w:rsid w:val="00934C95"/>
    <w:rsid w:val="00936FA6"/>
    <w:rsid w:val="00937213"/>
    <w:rsid w:val="0093748A"/>
    <w:rsid w:val="0094052D"/>
    <w:rsid w:val="00941124"/>
    <w:rsid w:val="009413E2"/>
    <w:rsid w:val="009416B0"/>
    <w:rsid w:val="00943BFE"/>
    <w:rsid w:val="009441E0"/>
    <w:rsid w:val="00944BB1"/>
    <w:rsid w:val="00950EA3"/>
    <w:rsid w:val="009510B4"/>
    <w:rsid w:val="0095452D"/>
    <w:rsid w:val="00955718"/>
    <w:rsid w:val="009557DC"/>
    <w:rsid w:val="00955C73"/>
    <w:rsid w:val="0096311D"/>
    <w:rsid w:val="0096395C"/>
    <w:rsid w:val="009648E1"/>
    <w:rsid w:val="009655B4"/>
    <w:rsid w:val="00967745"/>
    <w:rsid w:val="009703DB"/>
    <w:rsid w:val="00971C1F"/>
    <w:rsid w:val="00972C9D"/>
    <w:rsid w:val="0097393F"/>
    <w:rsid w:val="00980192"/>
    <w:rsid w:val="00981308"/>
    <w:rsid w:val="00984C37"/>
    <w:rsid w:val="00987FF2"/>
    <w:rsid w:val="00993959"/>
    <w:rsid w:val="0099663D"/>
    <w:rsid w:val="0099792E"/>
    <w:rsid w:val="009A28B4"/>
    <w:rsid w:val="009A2FDC"/>
    <w:rsid w:val="009A37AE"/>
    <w:rsid w:val="009A3A24"/>
    <w:rsid w:val="009A6DEE"/>
    <w:rsid w:val="009A7019"/>
    <w:rsid w:val="009B2F9B"/>
    <w:rsid w:val="009B3D0E"/>
    <w:rsid w:val="009B57DF"/>
    <w:rsid w:val="009C0D7D"/>
    <w:rsid w:val="009C4811"/>
    <w:rsid w:val="009D1081"/>
    <w:rsid w:val="009D3291"/>
    <w:rsid w:val="009D747E"/>
    <w:rsid w:val="009E077F"/>
    <w:rsid w:val="009E14B9"/>
    <w:rsid w:val="009E1C1F"/>
    <w:rsid w:val="009E3255"/>
    <w:rsid w:val="009E6053"/>
    <w:rsid w:val="009E7A36"/>
    <w:rsid w:val="009F1221"/>
    <w:rsid w:val="009F1C34"/>
    <w:rsid w:val="009F250A"/>
    <w:rsid w:val="009F339C"/>
    <w:rsid w:val="009F3659"/>
    <w:rsid w:val="009F51C8"/>
    <w:rsid w:val="009F5AAA"/>
    <w:rsid w:val="00A00FC9"/>
    <w:rsid w:val="00A028E6"/>
    <w:rsid w:val="00A03C82"/>
    <w:rsid w:val="00A052E7"/>
    <w:rsid w:val="00A10A16"/>
    <w:rsid w:val="00A114CC"/>
    <w:rsid w:val="00A13D02"/>
    <w:rsid w:val="00A144FB"/>
    <w:rsid w:val="00A16717"/>
    <w:rsid w:val="00A16DCD"/>
    <w:rsid w:val="00A173D0"/>
    <w:rsid w:val="00A22F09"/>
    <w:rsid w:val="00A23891"/>
    <w:rsid w:val="00A24BE3"/>
    <w:rsid w:val="00A24E93"/>
    <w:rsid w:val="00A2602E"/>
    <w:rsid w:val="00A33AC1"/>
    <w:rsid w:val="00A33D54"/>
    <w:rsid w:val="00A41263"/>
    <w:rsid w:val="00A42DDE"/>
    <w:rsid w:val="00A45A9C"/>
    <w:rsid w:val="00A45BB3"/>
    <w:rsid w:val="00A50D65"/>
    <w:rsid w:val="00A52901"/>
    <w:rsid w:val="00A53401"/>
    <w:rsid w:val="00A53883"/>
    <w:rsid w:val="00A56764"/>
    <w:rsid w:val="00A575D1"/>
    <w:rsid w:val="00A57F36"/>
    <w:rsid w:val="00A60F61"/>
    <w:rsid w:val="00A631F9"/>
    <w:rsid w:val="00A66C18"/>
    <w:rsid w:val="00A74249"/>
    <w:rsid w:val="00A7582B"/>
    <w:rsid w:val="00A75AC8"/>
    <w:rsid w:val="00A75E97"/>
    <w:rsid w:val="00A76C34"/>
    <w:rsid w:val="00A8569F"/>
    <w:rsid w:val="00A908CC"/>
    <w:rsid w:val="00A9587D"/>
    <w:rsid w:val="00A97CB7"/>
    <w:rsid w:val="00AA1568"/>
    <w:rsid w:val="00AA174C"/>
    <w:rsid w:val="00AA3BE1"/>
    <w:rsid w:val="00AB2AC6"/>
    <w:rsid w:val="00AB3ACB"/>
    <w:rsid w:val="00AB54BD"/>
    <w:rsid w:val="00AB7FDE"/>
    <w:rsid w:val="00AC26AD"/>
    <w:rsid w:val="00AC40D1"/>
    <w:rsid w:val="00AC4BF6"/>
    <w:rsid w:val="00AD109E"/>
    <w:rsid w:val="00AD11A0"/>
    <w:rsid w:val="00AD1750"/>
    <w:rsid w:val="00AD20C5"/>
    <w:rsid w:val="00AD2D2D"/>
    <w:rsid w:val="00AD439B"/>
    <w:rsid w:val="00AE1775"/>
    <w:rsid w:val="00AE212E"/>
    <w:rsid w:val="00AE2E93"/>
    <w:rsid w:val="00AE5447"/>
    <w:rsid w:val="00AE54C1"/>
    <w:rsid w:val="00AE668E"/>
    <w:rsid w:val="00AE7CA1"/>
    <w:rsid w:val="00AF132F"/>
    <w:rsid w:val="00AF1F30"/>
    <w:rsid w:val="00AF6560"/>
    <w:rsid w:val="00B012AC"/>
    <w:rsid w:val="00B03C1B"/>
    <w:rsid w:val="00B05AAC"/>
    <w:rsid w:val="00B13078"/>
    <w:rsid w:val="00B13EF2"/>
    <w:rsid w:val="00B174F5"/>
    <w:rsid w:val="00B20E8C"/>
    <w:rsid w:val="00B21DA3"/>
    <w:rsid w:val="00B23301"/>
    <w:rsid w:val="00B24E9F"/>
    <w:rsid w:val="00B25FAE"/>
    <w:rsid w:val="00B2610C"/>
    <w:rsid w:val="00B2619B"/>
    <w:rsid w:val="00B26817"/>
    <w:rsid w:val="00B30174"/>
    <w:rsid w:val="00B303F6"/>
    <w:rsid w:val="00B30A83"/>
    <w:rsid w:val="00B3182D"/>
    <w:rsid w:val="00B35FAD"/>
    <w:rsid w:val="00B36A04"/>
    <w:rsid w:val="00B37951"/>
    <w:rsid w:val="00B43E04"/>
    <w:rsid w:val="00B44E6E"/>
    <w:rsid w:val="00B45229"/>
    <w:rsid w:val="00B504AA"/>
    <w:rsid w:val="00B505FC"/>
    <w:rsid w:val="00B50F11"/>
    <w:rsid w:val="00B5114D"/>
    <w:rsid w:val="00B537D8"/>
    <w:rsid w:val="00B53B81"/>
    <w:rsid w:val="00B54EAB"/>
    <w:rsid w:val="00B60A50"/>
    <w:rsid w:val="00B61487"/>
    <w:rsid w:val="00B6329D"/>
    <w:rsid w:val="00B642F1"/>
    <w:rsid w:val="00B67038"/>
    <w:rsid w:val="00B67D01"/>
    <w:rsid w:val="00B71AF3"/>
    <w:rsid w:val="00B720E9"/>
    <w:rsid w:val="00B72AED"/>
    <w:rsid w:val="00B73B5D"/>
    <w:rsid w:val="00B7652D"/>
    <w:rsid w:val="00B804DB"/>
    <w:rsid w:val="00B8180F"/>
    <w:rsid w:val="00B82CEB"/>
    <w:rsid w:val="00B83B9B"/>
    <w:rsid w:val="00B863EC"/>
    <w:rsid w:val="00B90DE1"/>
    <w:rsid w:val="00B9117E"/>
    <w:rsid w:val="00B91A0A"/>
    <w:rsid w:val="00B92E4B"/>
    <w:rsid w:val="00B9351E"/>
    <w:rsid w:val="00B94843"/>
    <w:rsid w:val="00B95E85"/>
    <w:rsid w:val="00BA000C"/>
    <w:rsid w:val="00BA0080"/>
    <w:rsid w:val="00BA0204"/>
    <w:rsid w:val="00BA08D4"/>
    <w:rsid w:val="00BA186B"/>
    <w:rsid w:val="00BA2206"/>
    <w:rsid w:val="00BA2EC4"/>
    <w:rsid w:val="00BA3046"/>
    <w:rsid w:val="00BA320E"/>
    <w:rsid w:val="00BA32FC"/>
    <w:rsid w:val="00BA3589"/>
    <w:rsid w:val="00BA6B21"/>
    <w:rsid w:val="00BB7067"/>
    <w:rsid w:val="00BC0A44"/>
    <w:rsid w:val="00BC2186"/>
    <w:rsid w:val="00BC23E3"/>
    <w:rsid w:val="00BC42FB"/>
    <w:rsid w:val="00BC6733"/>
    <w:rsid w:val="00BD02D5"/>
    <w:rsid w:val="00BD0BE6"/>
    <w:rsid w:val="00BD2838"/>
    <w:rsid w:val="00BD3F71"/>
    <w:rsid w:val="00BD4217"/>
    <w:rsid w:val="00BD4779"/>
    <w:rsid w:val="00BD5D0A"/>
    <w:rsid w:val="00BD63AB"/>
    <w:rsid w:val="00BD707E"/>
    <w:rsid w:val="00BE528D"/>
    <w:rsid w:val="00BE7AC2"/>
    <w:rsid w:val="00BF1D11"/>
    <w:rsid w:val="00BF419A"/>
    <w:rsid w:val="00BF4F4F"/>
    <w:rsid w:val="00BF59E6"/>
    <w:rsid w:val="00C00129"/>
    <w:rsid w:val="00C001A9"/>
    <w:rsid w:val="00C01644"/>
    <w:rsid w:val="00C028F7"/>
    <w:rsid w:val="00C05564"/>
    <w:rsid w:val="00C06962"/>
    <w:rsid w:val="00C06E54"/>
    <w:rsid w:val="00C100B0"/>
    <w:rsid w:val="00C1066D"/>
    <w:rsid w:val="00C13CF5"/>
    <w:rsid w:val="00C13F5A"/>
    <w:rsid w:val="00C16857"/>
    <w:rsid w:val="00C21FB9"/>
    <w:rsid w:val="00C25D8C"/>
    <w:rsid w:val="00C26311"/>
    <w:rsid w:val="00C27004"/>
    <w:rsid w:val="00C3113B"/>
    <w:rsid w:val="00C322F3"/>
    <w:rsid w:val="00C410E9"/>
    <w:rsid w:val="00C41789"/>
    <w:rsid w:val="00C434C6"/>
    <w:rsid w:val="00C466B7"/>
    <w:rsid w:val="00C50E00"/>
    <w:rsid w:val="00C52B10"/>
    <w:rsid w:val="00C53B9C"/>
    <w:rsid w:val="00C62B86"/>
    <w:rsid w:val="00C6344A"/>
    <w:rsid w:val="00C64AF7"/>
    <w:rsid w:val="00C66330"/>
    <w:rsid w:val="00C703D1"/>
    <w:rsid w:val="00C73B56"/>
    <w:rsid w:val="00C75D2B"/>
    <w:rsid w:val="00C772DE"/>
    <w:rsid w:val="00C83324"/>
    <w:rsid w:val="00C85D8F"/>
    <w:rsid w:val="00C868BC"/>
    <w:rsid w:val="00C92748"/>
    <w:rsid w:val="00C936F5"/>
    <w:rsid w:val="00C9615F"/>
    <w:rsid w:val="00C966FC"/>
    <w:rsid w:val="00C96771"/>
    <w:rsid w:val="00CA4E85"/>
    <w:rsid w:val="00CA70DD"/>
    <w:rsid w:val="00CA7158"/>
    <w:rsid w:val="00CB0755"/>
    <w:rsid w:val="00CB0ECC"/>
    <w:rsid w:val="00CB4A48"/>
    <w:rsid w:val="00CB5837"/>
    <w:rsid w:val="00CB6694"/>
    <w:rsid w:val="00CB6B0C"/>
    <w:rsid w:val="00CC4AC5"/>
    <w:rsid w:val="00CC6E6B"/>
    <w:rsid w:val="00CD3331"/>
    <w:rsid w:val="00CD3FEA"/>
    <w:rsid w:val="00CD4EEE"/>
    <w:rsid w:val="00CE0BA7"/>
    <w:rsid w:val="00CE21A8"/>
    <w:rsid w:val="00CE223E"/>
    <w:rsid w:val="00CE7977"/>
    <w:rsid w:val="00CF0457"/>
    <w:rsid w:val="00CF0908"/>
    <w:rsid w:val="00CF0BC8"/>
    <w:rsid w:val="00CF5BD2"/>
    <w:rsid w:val="00D00EE5"/>
    <w:rsid w:val="00D01C1D"/>
    <w:rsid w:val="00D034F7"/>
    <w:rsid w:val="00D03E98"/>
    <w:rsid w:val="00D11700"/>
    <w:rsid w:val="00D12C06"/>
    <w:rsid w:val="00D14DD0"/>
    <w:rsid w:val="00D15F3F"/>
    <w:rsid w:val="00D20D91"/>
    <w:rsid w:val="00D24F04"/>
    <w:rsid w:val="00D27A38"/>
    <w:rsid w:val="00D27CCC"/>
    <w:rsid w:val="00D30A50"/>
    <w:rsid w:val="00D319FC"/>
    <w:rsid w:val="00D332AC"/>
    <w:rsid w:val="00D33703"/>
    <w:rsid w:val="00D36E15"/>
    <w:rsid w:val="00D412FA"/>
    <w:rsid w:val="00D472DD"/>
    <w:rsid w:val="00D5242C"/>
    <w:rsid w:val="00D547F4"/>
    <w:rsid w:val="00D56F02"/>
    <w:rsid w:val="00D6561A"/>
    <w:rsid w:val="00D70FEA"/>
    <w:rsid w:val="00D712B3"/>
    <w:rsid w:val="00D721A5"/>
    <w:rsid w:val="00D7387E"/>
    <w:rsid w:val="00D7597E"/>
    <w:rsid w:val="00D81303"/>
    <w:rsid w:val="00D827FB"/>
    <w:rsid w:val="00D9150F"/>
    <w:rsid w:val="00D93D2F"/>
    <w:rsid w:val="00D94569"/>
    <w:rsid w:val="00D9560B"/>
    <w:rsid w:val="00DA3BAA"/>
    <w:rsid w:val="00DB079F"/>
    <w:rsid w:val="00DB19C2"/>
    <w:rsid w:val="00DB501E"/>
    <w:rsid w:val="00DB7066"/>
    <w:rsid w:val="00DB7B49"/>
    <w:rsid w:val="00DC04C9"/>
    <w:rsid w:val="00DC5DA2"/>
    <w:rsid w:val="00DD34C5"/>
    <w:rsid w:val="00DD351E"/>
    <w:rsid w:val="00DD3974"/>
    <w:rsid w:val="00DD3FD2"/>
    <w:rsid w:val="00DD460C"/>
    <w:rsid w:val="00DD604B"/>
    <w:rsid w:val="00DE011B"/>
    <w:rsid w:val="00DE1867"/>
    <w:rsid w:val="00DE18B1"/>
    <w:rsid w:val="00DE19A7"/>
    <w:rsid w:val="00DE2857"/>
    <w:rsid w:val="00DE3909"/>
    <w:rsid w:val="00DE4D67"/>
    <w:rsid w:val="00DF0A0E"/>
    <w:rsid w:val="00DF2A18"/>
    <w:rsid w:val="00DF30AD"/>
    <w:rsid w:val="00DF46B8"/>
    <w:rsid w:val="00DF5C0E"/>
    <w:rsid w:val="00DF6006"/>
    <w:rsid w:val="00E00908"/>
    <w:rsid w:val="00E00CF0"/>
    <w:rsid w:val="00E00DDB"/>
    <w:rsid w:val="00E05783"/>
    <w:rsid w:val="00E05A53"/>
    <w:rsid w:val="00E068A7"/>
    <w:rsid w:val="00E06903"/>
    <w:rsid w:val="00E1040F"/>
    <w:rsid w:val="00E11D12"/>
    <w:rsid w:val="00E12391"/>
    <w:rsid w:val="00E149B0"/>
    <w:rsid w:val="00E1621F"/>
    <w:rsid w:val="00E20C2E"/>
    <w:rsid w:val="00E216A0"/>
    <w:rsid w:val="00E21C7D"/>
    <w:rsid w:val="00E24289"/>
    <w:rsid w:val="00E25DCF"/>
    <w:rsid w:val="00E25F61"/>
    <w:rsid w:val="00E26731"/>
    <w:rsid w:val="00E302B9"/>
    <w:rsid w:val="00E3073F"/>
    <w:rsid w:val="00E32B33"/>
    <w:rsid w:val="00E35175"/>
    <w:rsid w:val="00E4328A"/>
    <w:rsid w:val="00E439A8"/>
    <w:rsid w:val="00E43AA9"/>
    <w:rsid w:val="00E43B81"/>
    <w:rsid w:val="00E4458C"/>
    <w:rsid w:val="00E44CF7"/>
    <w:rsid w:val="00E44D92"/>
    <w:rsid w:val="00E4656E"/>
    <w:rsid w:val="00E54193"/>
    <w:rsid w:val="00E54B9C"/>
    <w:rsid w:val="00E56C31"/>
    <w:rsid w:val="00E60732"/>
    <w:rsid w:val="00E62D78"/>
    <w:rsid w:val="00E758E7"/>
    <w:rsid w:val="00E77491"/>
    <w:rsid w:val="00E80DF9"/>
    <w:rsid w:val="00E8471B"/>
    <w:rsid w:val="00E926B7"/>
    <w:rsid w:val="00E948A3"/>
    <w:rsid w:val="00E97DB3"/>
    <w:rsid w:val="00EA0B91"/>
    <w:rsid w:val="00EA3080"/>
    <w:rsid w:val="00EA46D8"/>
    <w:rsid w:val="00EB1D08"/>
    <w:rsid w:val="00EB3262"/>
    <w:rsid w:val="00EB34CB"/>
    <w:rsid w:val="00EB5819"/>
    <w:rsid w:val="00EB6E54"/>
    <w:rsid w:val="00EC192D"/>
    <w:rsid w:val="00EC27E0"/>
    <w:rsid w:val="00EC2D2A"/>
    <w:rsid w:val="00EC39F7"/>
    <w:rsid w:val="00EC532E"/>
    <w:rsid w:val="00EC5496"/>
    <w:rsid w:val="00EC6869"/>
    <w:rsid w:val="00EC7BC2"/>
    <w:rsid w:val="00ED06E4"/>
    <w:rsid w:val="00ED2DFE"/>
    <w:rsid w:val="00ED34BA"/>
    <w:rsid w:val="00ED3E94"/>
    <w:rsid w:val="00ED4CB0"/>
    <w:rsid w:val="00ED5B1C"/>
    <w:rsid w:val="00ED6BBC"/>
    <w:rsid w:val="00EE5D2F"/>
    <w:rsid w:val="00EF126A"/>
    <w:rsid w:val="00EF3E33"/>
    <w:rsid w:val="00F01473"/>
    <w:rsid w:val="00F03225"/>
    <w:rsid w:val="00F03278"/>
    <w:rsid w:val="00F0363A"/>
    <w:rsid w:val="00F046BC"/>
    <w:rsid w:val="00F1192B"/>
    <w:rsid w:val="00F11E7A"/>
    <w:rsid w:val="00F14854"/>
    <w:rsid w:val="00F166C2"/>
    <w:rsid w:val="00F169B3"/>
    <w:rsid w:val="00F2184A"/>
    <w:rsid w:val="00F21FB0"/>
    <w:rsid w:val="00F23CDA"/>
    <w:rsid w:val="00F24CEC"/>
    <w:rsid w:val="00F24FFF"/>
    <w:rsid w:val="00F25BCE"/>
    <w:rsid w:val="00F27474"/>
    <w:rsid w:val="00F30053"/>
    <w:rsid w:val="00F333C6"/>
    <w:rsid w:val="00F362C3"/>
    <w:rsid w:val="00F400D6"/>
    <w:rsid w:val="00F40FAD"/>
    <w:rsid w:val="00F420D8"/>
    <w:rsid w:val="00F427A3"/>
    <w:rsid w:val="00F43D01"/>
    <w:rsid w:val="00F43D46"/>
    <w:rsid w:val="00F43FBE"/>
    <w:rsid w:val="00F458EB"/>
    <w:rsid w:val="00F45AD8"/>
    <w:rsid w:val="00F51784"/>
    <w:rsid w:val="00F523CD"/>
    <w:rsid w:val="00F532AF"/>
    <w:rsid w:val="00F54296"/>
    <w:rsid w:val="00F603ED"/>
    <w:rsid w:val="00F63C49"/>
    <w:rsid w:val="00F6526F"/>
    <w:rsid w:val="00F66242"/>
    <w:rsid w:val="00F70852"/>
    <w:rsid w:val="00F80355"/>
    <w:rsid w:val="00F83DCD"/>
    <w:rsid w:val="00F843CF"/>
    <w:rsid w:val="00F84DB8"/>
    <w:rsid w:val="00F909CC"/>
    <w:rsid w:val="00F922FC"/>
    <w:rsid w:val="00F935C6"/>
    <w:rsid w:val="00F941D9"/>
    <w:rsid w:val="00F94702"/>
    <w:rsid w:val="00F9660D"/>
    <w:rsid w:val="00F96729"/>
    <w:rsid w:val="00FA28DD"/>
    <w:rsid w:val="00FA2B01"/>
    <w:rsid w:val="00FA71EF"/>
    <w:rsid w:val="00FB064E"/>
    <w:rsid w:val="00FB0D7F"/>
    <w:rsid w:val="00FB1CB6"/>
    <w:rsid w:val="00FB2AC2"/>
    <w:rsid w:val="00FB2AE7"/>
    <w:rsid w:val="00FB4018"/>
    <w:rsid w:val="00FB475F"/>
    <w:rsid w:val="00FB56A5"/>
    <w:rsid w:val="00FB748A"/>
    <w:rsid w:val="00FC0417"/>
    <w:rsid w:val="00FC39C2"/>
    <w:rsid w:val="00FC39F0"/>
    <w:rsid w:val="00FC75DB"/>
    <w:rsid w:val="00FC7E42"/>
    <w:rsid w:val="00FD0272"/>
    <w:rsid w:val="00FD3214"/>
    <w:rsid w:val="00FD34B1"/>
    <w:rsid w:val="00FD3E37"/>
    <w:rsid w:val="00FD5018"/>
    <w:rsid w:val="00FD57AB"/>
    <w:rsid w:val="00FD6705"/>
    <w:rsid w:val="00FD74ED"/>
    <w:rsid w:val="00FE39C7"/>
    <w:rsid w:val="00FE4CB7"/>
    <w:rsid w:val="00FE58CF"/>
    <w:rsid w:val="00FE6E7F"/>
    <w:rsid w:val="00FE7679"/>
    <w:rsid w:val="00FE7C73"/>
    <w:rsid w:val="00FF204C"/>
    <w:rsid w:val="00FF4608"/>
    <w:rsid w:val="00FF484E"/>
    <w:rsid w:val="00FF5080"/>
    <w:rsid w:val="03BA2131"/>
    <w:rsid w:val="073C7668"/>
    <w:rsid w:val="07F35494"/>
    <w:rsid w:val="08B915CA"/>
    <w:rsid w:val="09331ABF"/>
    <w:rsid w:val="094445B2"/>
    <w:rsid w:val="0A862689"/>
    <w:rsid w:val="0D576E17"/>
    <w:rsid w:val="0DDA1988"/>
    <w:rsid w:val="0F7D437D"/>
    <w:rsid w:val="1001144E"/>
    <w:rsid w:val="106875CB"/>
    <w:rsid w:val="163976E4"/>
    <w:rsid w:val="16EF1057"/>
    <w:rsid w:val="17A40318"/>
    <w:rsid w:val="18895BA5"/>
    <w:rsid w:val="194837C2"/>
    <w:rsid w:val="197310D0"/>
    <w:rsid w:val="19BD0D56"/>
    <w:rsid w:val="1B3C333B"/>
    <w:rsid w:val="1E9E7183"/>
    <w:rsid w:val="254259F1"/>
    <w:rsid w:val="2BC817F9"/>
    <w:rsid w:val="2C9265D5"/>
    <w:rsid w:val="2F561217"/>
    <w:rsid w:val="2FD23E16"/>
    <w:rsid w:val="308A70A0"/>
    <w:rsid w:val="33277DE4"/>
    <w:rsid w:val="350259B6"/>
    <w:rsid w:val="3AFB2473"/>
    <w:rsid w:val="3B830B89"/>
    <w:rsid w:val="44663053"/>
    <w:rsid w:val="475062F3"/>
    <w:rsid w:val="48EB7FCA"/>
    <w:rsid w:val="4A507745"/>
    <w:rsid w:val="4A527BD5"/>
    <w:rsid w:val="50D92DFE"/>
    <w:rsid w:val="51B95FB0"/>
    <w:rsid w:val="52B6036C"/>
    <w:rsid w:val="534D53DE"/>
    <w:rsid w:val="5A4566FD"/>
    <w:rsid w:val="5F93686E"/>
    <w:rsid w:val="6223037D"/>
    <w:rsid w:val="636C7AB1"/>
    <w:rsid w:val="64A038CF"/>
    <w:rsid w:val="6A5C442C"/>
    <w:rsid w:val="6A845F5F"/>
    <w:rsid w:val="6D5A003F"/>
    <w:rsid w:val="6E931F60"/>
    <w:rsid w:val="71B648C4"/>
    <w:rsid w:val="76602F0E"/>
    <w:rsid w:val="76B86E8E"/>
    <w:rsid w:val="781060F3"/>
    <w:rsid w:val="7AC022E5"/>
    <w:rsid w:val="7C291AB3"/>
    <w:rsid w:val="7FA75CF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0"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240" w:lineRule="exact"/>
      <w:jc w:val="both"/>
    </w:pPr>
    <w:rPr>
      <w:rFonts w:asciiTheme="minorHAnsi" w:hAnsiTheme="minorHAnsi" w:eastAsiaTheme="minorEastAsia" w:cstheme="minorBidi"/>
      <w:kern w:val="2"/>
      <w:sz w:val="21"/>
      <w:szCs w:val="22"/>
      <w:lang w:val="en-US" w:eastAsia="zh-CN" w:bidi="ar-SA"/>
    </w:rPr>
  </w:style>
  <w:style w:type="paragraph" w:styleId="2">
    <w:name w:val="heading 3"/>
    <w:basedOn w:val="1"/>
    <w:next w:val="1"/>
    <w:link w:val="19"/>
    <w:qFormat/>
    <w:uiPriority w:val="0"/>
    <w:pPr>
      <w:widowControl/>
      <w:spacing w:before="100" w:beforeAutospacing="1" w:after="100" w:afterAutospacing="1" w:line="240" w:lineRule="auto"/>
      <w:jc w:val="left"/>
      <w:outlineLvl w:val="2"/>
    </w:pPr>
    <w:rPr>
      <w:rFonts w:ascii="宋体" w:hAnsi="宋体" w:eastAsia="宋体" w:cs="宋体"/>
      <w:b/>
      <w:bCs/>
      <w:kern w:val="0"/>
      <w:sz w:val="27"/>
      <w:szCs w:val="27"/>
    </w:rPr>
  </w:style>
  <w:style w:type="paragraph" w:styleId="3">
    <w:name w:val="heading 4"/>
    <w:basedOn w:val="1"/>
    <w:next w:val="1"/>
    <w:link w:val="24"/>
    <w:unhideWhenUsed/>
    <w:qFormat/>
    <w:uiPriority w:val="9"/>
    <w:pPr>
      <w:keepNext/>
      <w:keepLines/>
      <w:spacing w:before="280" w:after="290" w:line="376" w:lineRule="atLeast"/>
      <w:outlineLvl w:val="3"/>
    </w:pPr>
    <w:rPr>
      <w:rFonts w:asciiTheme="majorHAnsi" w:hAnsiTheme="majorHAnsi" w:eastAsiaTheme="majorEastAsia" w:cstheme="majorBidi"/>
      <w:b/>
      <w:bCs/>
      <w:sz w:val="28"/>
      <w:szCs w:val="28"/>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4">
    <w:name w:val="Body Text Indent"/>
    <w:basedOn w:val="1"/>
    <w:qFormat/>
    <w:uiPriority w:val="0"/>
    <w:pPr>
      <w:spacing w:line="600" w:lineRule="exact"/>
      <w:ind w:firstLine="630"/>
    </w:pPr>
    <w:rPr>
      <w:rFonts w:ascii="Times New Roman" w:hAnsi="Times New Roman" w:eastAsia="仿宋_GB2312" w:cs="Times New Roman"/>
      <w:sz w:val="32"/>
    </w:rPr>
  </w:style>
  <w:style w:type="paragraph" w:styleId="5">
    <w:name w:val="footer"/>
    <w:basedOn w:val="1"/>
    <w:link w:val="14"/>
    <w:unhideWhenUsed/>
    <w:qFormat/>
    <w:uiPriority w:val="99"/>
    <w:pPr>
      <w:tabs>
        <w:tab w:val="center" w:pos="4153"/>
        <w:tab w:val="right" w:pos="8306"/>
      </w:tabs>
      <w:snapToGrid w:val="0"/>
      <w:spacing w:line="240" w:lineRule="atLeast"/>
      <w:jc w:val="left"/>
    </w:pPr>
    <w:rPr>
      <w:sz w:val="18"/>
      <w:szCs w:val="18"/>
    </w:rPr>
  </w:style>
  <w:style w:type="paragraph" w:styleId="6">
    <w:name w:val="header"/>
    <w:basedOn w:val="1"/>
    <w:link w:val="13"/>
    <w:unhideWhenUsed/>
    <w:qFormat/>
    <w:uiPriority w:val="99"/>
    <w:pPr>
      <w:pBdr>
        <w:bottom w:val="single" w:color="auto" w:sz="6" w:space="1"/>
      </w:pBdr>
      <w:tabs>
        <w:tab w:val="center" w:pos="4153"/>
        <w:tab w:val="right" w:pos="8306"/>
      </w:tabs>
      <w:snapToGrid w:val="0"/>
      <w:spacing w:line="240" w:lineRule="atLeast"/>
      <w:jc w:val="center"/>
    </w:pPr>
    <w:rPr>
      <w:sz w:val="18"/>
      <w:szCs w:val="18"/>
    </w:rPr>
  </w:style>
  <w:style w:type="paragraph" w:styleId="7">
    <w:name w:val="HTML Preformatted"/>
    <w:basedOn w:val="1"/>
    <w:link w:val="16"/>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宋体" w:hAnsi="宋体" w:eastAsia="宋体" w:cs="宋体"/>
      <w:kern w:val="0"/>
      <w:sz w:val="24"/>
      <w:szCs w:val="24"/>
    </w:rPr>
  </w:style>
  <w:style w:type="paragraph" w:styleId="8">
    <w:name w:val="Title"/>
    <w:basedOn w:val="1"/>
    <w:next w:val="4"/>
    <w:qFormat/>
    <w:uiPriority w:val="0"/>
    <w:pPr>
      <w:spacing w:before="240" w:after="60"/>
      <w:jc w:val="center"/>
      <w:outlineLvl w:val="0"/>
    </w:pPr>
    <w:rPr>
      <w:rFonts w:ascii="Arial" w:hAnsi="Arial" w:eastAsia="宋体" w:cs="Times New Roman"/>
      <w:b/>
      <w:sz w:val="32"/>
    </w:rPr>
  </w:style>
  <w:style w:type="table" w:styleId="10">
    <w:name w:val="Table Grid"/>
    <w:basedOn w:val="9"/>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styleId="12">
    <w:name w:val="Hyperlink"/>
    <w:basedOn w:val="11"/>
    <w:qFormat/>
    <w:uiPriority w:val="0"/>
    <w:rPr>
      <w:color w:val="0000FF"/>
      <w:u w:val="single"/>
    </w:rPr>
  </w:style>
  <w:style w:type="character" w:customStyle="1" w:styleId="13">
    <w:name w:val="页眉 字符"/>
    <w:basedOn w:val="11"/>
    <w:link w:val="6"/>
    <w:qFormat/>
    <w:uiPriority w:val="99"/>
    <w:rPr>
      <w:sz w:val="18"/>
      <w:szCs w:val="18"/>
    </w:rPr>
  </w:style>
  <w:style w:type="character" w:customStyle="1" w:styleId="14">
    <w:name w:val="页脚 字符"/>
    <w:basedOn w:val="11"/>
    <w:link w:val="5"/>
    <w:qFormat/>
    <w:uiPriority w:val="99"/>
    <w:rPr>
      <w:sz w:val="18"/>
      <w:szCs w:val="18"/>
    </w:rPr>
  </w:style>
  <w:style w:type="paragraph" w:customStyle="1" w:styleId="15">
    <w:name w:val="Default"/>
    <w:qFormat/>
    <w:uiPriority w:val="0"/>
    <w:pPr>
      <w:widowControl w:val="0"/>
      <w:autoSpaceDE w:val="0"/>
      <w:autoSpaceDN w:val="0"/>
      <w:adjustRightInd w:val="0"/>
    </w:pPr>
    <w:rPr>
      <w:rFonts w:ascii="宋体" w:eastAsia="宋体" w:cs="宋体" w:hAnsiTheme="minorHAnsi"/>
      <w:color w:val="000000"/>
      <w:sz w:val="24"/>
      <w:szCs w:val="24"/>
      <w:lang w:val="en-US" w:eastAsia="zh-CN" w:bidi="ar-SA"/>
    </w:rPr>
  </w:style>
  <w:style w:type="character" w:customStyle="1" w:styleId="16">
    <w:name w:val="HTML 预设格式 字符"/>
    <w:basedOn w:val="11"/>
    <w:link w:val="7"/>
    <w:qFormat/>
    <w:uiPriority w:val="0"/>
    <w:rPr>
      <w:rFonts w:ascii="宋体" w:hAnsi="宋体" w:eastAsia="宋体" w:cs="宋体"/>
      <w:kern w:val="0"/>
      <w:sz w:val="24"/>
      <w:szCs w:val="24"/>
    </w:rPr>
  </w:style>
  <w:style w:type="paragraph" w:styleId="17">
    <w:name w:val="List Paragraph"/>
    <w:basedOn w:val="1"/>
    <w:qFormat/>
    <w:uiPriority w:val="34"/>
    <w:pPr>
      <w:spacing w:line="240" w:lineRule="auto"/>
      <w:ind w:firstLine="420" w:firstLineChars="200"/>
    </w:pPr>
    <w:rPr>
      <w:rFonts w:ascii="Times New Roman" w:hAnsi="Times New Roman" w:eastAsia="宋体" w:cs="Times New Roman"/>
      <w:szCs w:val="24"/>
    </w:rPr>
  </w:style>
  <w:style w:type="paragraph" w:customStyle="1" w:styleId="18">
    <w:name w:val="列出段落1"/>
    <w:basedOn w:val="1"/>
    <w:qFormat/>
    <w:uiPriority w:val="0"/>
    <w:pPr>
      <w:spacing w:line="240" w:lineRule="auto"/>
      <w:ind w:firstLine="420" w:firstLineChars="200"/>
    </w:pPr>
    <w:rPr>
      <w:rFonts w:ascii="Times New Roman" w:hAnsi="Times New Roman" w:eastAsia="宋体" w:cs="Times New Roman"/>
      <w:szCs w:val="24"/>
    </w:rPr>
  </w:style>
  <w:style w:type="character" w:customStyle="1" w:styleId="19">
    <w:name w:val="标题 3 字符"/>
    <w:basedOn w:val="11"/>
    <w:link w:val="2"/>
    <w:qFormat/>
    <w:uiPriority w:val="0"/>
    <w:rPr>
      <w:rFonts w:ascii="宋体" w:hAnsi="宋体" w:eastAsia="宋体" w:cs="宋体"/>
      <w:b/>
      <w:bCs/>
      <w:kern w:val="0"/>
      <w:sz w:val="27"/>
      <w:szCs w:val="27"/>
    </w:rPr>
  </w:style>
  <w:style w:type="paragraph" w:customStyle="1" w:styleId="20">
    <w:name w:val="列出段落2"/>
    <w:basedOn w:val="1"/>
    <w:qFormat/>
    <w:uiPriority w:val="0"/>
    <w:pPr>
      <w:spacing w:line="240" w:lineRule="auto"/>
      <w:ind w:firstLine="420" w:firstLineChars="200"/>
    </w:pPr>
    <w:rPr>
      <w:rFonts w:ascii="Times New Roman" w:hAnsi="Times New Roman" w:eastAsia="宋体" w:cs="Times New Roman"/>
      <w:szCs w:val="24"/>
    </w:rPr>
  </w:style>
  <w:style w:type="paragraph" w:customStyle="1" w:styleId="21">
    <w:name w:val="列出段落3"/>
    <w:basedOn w:val="1"/>
    <w:qFormat/>
    <w:uiPriority w:val="0"/>
    <w:pPr>
      <w:spacing w:line="240" w:lineRule="auto"/>
      <w:ind w:firstLine="420" w:firstLineChars="200"/>
    </w:pPr>
    <w:rPr>
      <w:rFonts w:ascii="Times New Roman" w:hAnsi="Times New Roman" w:eastAsia="宋体" w:cs="Times New Roman"/>
      <w:szCs w:val="24"/>
    </w:rPr>
  </w:style>
  <w:style w:type="character" w:customStyle="1" w:styleId="22">
    <w:name w:val="detail-field type-label"/>
    <w:basedOn w:val="11"/>
    <w:qFormat/>
    <w:uiPriority w:val="0"/>
  </w:style>
  <w:style w:type="paragraph" w:customStyle="1" w:styleId="23">
    <w:name w:val="列出段落4"/>
    <w:basedOn w:val="1"/>
    <w:qFormat/>
    <w:uiPriority w:val="0"/>
    <w:pPr>
      <w:spacing w:line="240" w:lineRule="auto"/>
      <w:ind w:firstLine="420" w:firstLineChars="200"/>
    </w:pPr>
    <w:rPr>
      <w:rFonts w:ascii="Times New Roman" w:hAnsi="Times New Roman" w:eastAsia="宋体" w:cs="Times New Roman"/>
      <w:szCs w:val="24"/>
    </w:rPr>
  </w:style>
  <w:style w:type="character" w:customStyle="1" w:styleId="24">
    <w:name w:val="标题 4 字符"/>
    <w:basedOn w:val="11"/>
    <w:link w:val="3"/>
    <w:qFormat/>
    <w:uiPriority w:val="9"/>
    <w:rPr>
      <w:rFonts w:asciiTheme="majorHAnsi" w:hAnsiTheme="majorHAnsi" w:eastAsiaTheme="majorEastAsia" w:cstheme="majorBidi"/>
      <w:b/>
      <w:bCs/>
      <w:sz w:val="28"/>
      <w:szCs w:val="2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3</Pages>
  <Words>2893</Words>
  <Characters>2961</Characters>
  <Lines>1</Lines>
  <Paragraphs>1</Paragraphs>
  <TotalTime>2</TotalTime>
  <ScaleCrop>false</ScaleCrop>
  <LinksUpToDate>false</LinksUpToDate>
  <CharactersWithSpaces>2961</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2019-10-23T02:46:00Z</dcterms:created>
  <dc:creator>中科软</dc:creator>
  <cp:lastModifiedBy>Alex Spieler</cp:lastModifiedBy>
  <cp:lastPrinted>2024-09-23T02:30:00Z</cp:lastPrinted>
  <dcterms:modified xsi:type="dcterms:W3CDTF">2025-07-31T06:27:26Z</dcterms:modified>
  <cp:revision>34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FF02ADEC6CF04F5E8FD4B8BC8D1A6F56_12</vt:lpwstr>
  </property>
  <property fmtid="{D5CDD505-2E9C-101B-9397-08002B2CF9AE}" pid="4" name="KSOTemplateDocerSaveRecord">
    <vt:lpwstr>eyJoZGlkIjoiOGVhNTdjNDY1MGIzOTM4NDZjY2RiY2VjMjQ5NjUzNzIiLCJ1c2VySWQiOiIzMDY4NDg1MTAifQ==</vt:lpwstr>
  </property>
</Properties>
</file>