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90AED">
      <w:pPr>
        <w:spacing w:line="240" w:lineRule="auto"/>
        <w:jc w:val="center"/>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苏州市环境信访</w:t>
      </w:r>
      <w:r>
        <w:rPr>
          <w:rFonts w:hint="eastAsia" w:ascii="方正小标宋简体" w:hAnsi="方正小标宋简体" w:eastAsia="方正小标宋简体" w:cs="方正小标宋简体"/>
          <w:b w:val="0"/>
          <w:bCs/>
          <w:kern w:val="0"/>
          <w:sz w:val="44"/>
          <w:szCs w:val="44"/>
          <w:lang w:eastAsia="zh-CN"/>
        </w:rPr>
        <w:t>举报</w:t>
      </w:r>
      <w:r>
        <w:rPr>
          <w:rFonts w:hint="eastAsia" w:ascii="方正小标宋简体" w:hAnsi="方正小标宋简体" w:eastAsia="方正小标宋简体" w:cs="方正小标宋简体"/>
          <w:b w:val="0"/>
          <w:bCs/>
          <w:kern w:val="0"/>
          <w:sz w:val="44"/>
          <w:szCs w:val="44"/>
        </w:rPr>
        <w:t>情况信息公开（202</w:t>
      </w:r>
      <w:r>
        <w:rPr>
          <w:rFonts w:hint="eastAsia" w:ascii="方正小标宋简体" w:hAnsi="方正小标宋简体" w:eastAsia="方正小标宋简体" w:cs="方正小标宋简体"/>
          <w:b w:val="0"/>
          <w:bCs/>
          <w:kern w:val="0"/>
          <w:sz w:val="44"/>
          <w:szCs w:val="44"/>
          <w:lang w:val="en-US" w:eastAsia="zh-CN"/>
        </w:rPr>
        <w:t>5</w:t>
      </w:r>
      <w:r>
        <w:rPr>
          <w:rFonts w:hint="eastAsia" w:ascii="方正小标宋简体" w:hAnsi="方正小标宋简体" w:eastAsia="方正小标宋简体" w:cs="方正小标宋简体"/>
          <w:b w:val="0"/>
          <w:bCs/>
          <w:kern w:val="0"/>
          <w:sz w:val="44"/>
          <w:szCs w:val="44"/>
        </w:rPr>
        <w:t>年</w:t>
      </w:r>
      <w:r>
        <w:rPr>
          <w:rFonts w:hint="eastAsia" w:ascii="方正小标宋简体" w:hAnsi="方正小标宋简体" w:eastAsia="方正小标宋简体" w:cs="方正小标宋简体"/>
          <w:b w:val="0"/>
          <w:bCs/>
          <w:kern w:val="0"/>
          <w:sz w:val="44"/>
          <w:szCs w:val="44"/>
          <w:lang w:val="en-US" w:eastAsia="zh-CN"/>
        </w:rPr>
        <w:t>6</w:t>
      </w:r>
      <w:r>
        <w:rPr>
          <w:rFonts w:hint="eastAsia" w:ascii="方正小标宋简体" w:hAnsi="方正小标宋简体" w:eastAsia="方正小标宋简体" w:cs="方正小标宋简体"/>
          <w:b w:val="0"/>
          <w:bCs/>
          <w:kern w:val="0"/>
          <w:sz w:val="44"/>
          <w:szCs w:val="44"/>
        </w:rPr>
        <w:t>月）</w:t>
      </w:r>
    </w:p>
    <w:p w14:paraId="2AA19BED">
      <w:pPr>
        <w:spacing w:line="240" w:lineRule="auto"/>
        <w:ind w:firstLine="640" w:firstLineChars="200"/>
        <w:jc w:val="both"/>
        <w:rPr>
          <w:rFonts w:hint="eastAsia" w:ascii="Times New Roman" w:eastAsia="仿宋_GB2312"/>
          <w:sz w:val="32"/>
          <w:szCs w:val="32"/>
          <w:lang w:val="en-US" w:eastAsia="zh-CN"/>
        </w:rPr>
      </w:pPr>
      <w:r>
        <w:rPr>
          <w:rFonts w:hint="eastAsia" w:ascii="Times New Roman" w:eastAsia="仿宋_GB2312"/>
          <w:sz w:val="32"/>
          <w:szCs w:val="32"/>
          <w:lang w:val="en-US" w:eastAsia="zh-CN"/>
        </w:rPr>
        <w:t>2025年6</w:t>
      </w:r>
      <w:r>
        <w:rPr>
          <w:rFonts w:hint="eastAsia" w:ascii="Times New Roman" w:eastAsia="仿宋_GB2312"/>
          <w:sz w:val="32"/>
          <w:szCs w:val="32"/>
        </w:rPr>
        <w:t>月，</w:t>
      </w:r>
      <w:r>
        <w:rPr>
          <w:rFonts w:hint="eastAsia" w:ascii="Times New Roman" w:eastAsia="仿宋_GB2312"/>
          <w:sz w:val="32"/>
          <w:szCs w:val="32"/>
          <w:lang w:eastAsia="zh-CN"/>
        </w:rPr>
        <w:t>全市生态环境部门</w:t>
      </w:r>
      <w:r>
        <w:rPr>
          <w:rFonts w:hint="eastAsia" w:ascii="Times New Roman" w:eastAsia="仿宋_GB2312"/>
          <w:sz w:val="32"/>
          <w:szCs w:val="32"/>
        </w:rPr>
        <w:t>共受理各级环境信访举</w:t>
      </w:r>
      <w:r>
        <w:rPr>
          <w:rFonts w:hint="eastAsia" w:ascii="Times New Roman" w:eastAsia="仿宋_GB2312"/>
          <w:sz w:val="32"/>
          <w:szCs w:val="32"/>
          <w:lang w:val="en-US" w:eastAsia="zh-CN"/>
        </w:rPr>
        <w:t>报</w:t>
      </w:r>
      <w:r>
        <w:rPr>
          <w:rFonts w:hint="eastAsia" w:ascii="Times New Roman" w:eastAsia="仿宋_GB2312" w:cs="Times New Roman"/>
          <w:i w:val="0"/>
          <w:iCs w:val="0"/>
          <w:caps w:val="0"/>
          <w:color w:val="auto"/>
          <w:spacing w:val="0"/>
          <w:sz w:val="32"/>
          <w:szCs w:val="32"/>
          <w:lang w:val="en-US" w:eastAsia="zh-CN"/>
        </w:rPr>
        <w:t>666</w:t>
      </w:r>
      <w:r>
        <w:rPr>
          <w:rFonts w:hint="default" w:ascii="Times New Roman" w:hAnsi="Times New Roman" w:eastAsia="仿宋_GB2312" w:cs="Times New Roman"/>
          <w:i w:val="0"/>
          <w:iCs w:val="0"/>
          <w:caps w:val="0"/>
          <w:color w:val="auto"/>
          <w:spacing w:val="0"/>
          <w:sz w:val="32"/>
          <w:szCs w:val="32"/>
        </w:rPr>
        <w:t>件，同比</w:t>
      </w:r>
      <w:r>
        <w:rPr>
          <w:rFonts w:hint="eastAsia" w:ascii="Times New Roman" w:eastAsia="仿宋_GB2312" w:cs="Times New Roman"/>
          <w:i w:val="0"/>
          <w:iCs w:val="0"/>
          <w:caps w:val="0"/>
          <w:color w:val="auto"/>
          <w:spacing w:val="0"/>
          <w:sz w:val="32"/>
          <w:szCs w:val="32"/>
          <w:lang w:eastAsia="zh-CN"/>
        </w:rPr>
        <w:t>下降</w:t>
      </w:r>
      <w:r>
        <w:rPr>
          <w:rFonts w:hint="eastAsia" w:ascii="Times New Roman" w:eastAsia="仿宋_GB2312" w:cs="Times New Roman"/>
          <w:i w:val="0"/>
          <w:iCs w:val="0"/>
          <w:caps w:val="0"/>
          <w:color w:val="auto"/>
          <w:spacing w:val="0"/>
          <w:sz w:val="32"/>
          <w:szCs w:val="32"/>
          <w:lang w:val="en-US" w:eastAsia="zh-CN"/>
        </w:rPr>
        <w:t>7.6</w:t>
      </w:r>
      <w:r>
        <w:rPr>
          <w:rFonts w:hint="default" w:ascii="Times New Roman" w:hAnsi="Times New Roman" w:cs="Times New Roman"/>
          <w:i w:val="0"/>
          <w:iCs w:val="0"/>
          <w:caps w:val="0"/>
          <w:color w:val="auto"/>
          <w:spacing w:val="0"/>
          <w:sz w:val="32"/>
          <w:szCs w:val="32"/>
        </w:rPr>
        <w:t>%</w:t>
      </w:r>
      <w:r>
        <w:rPr>
          <w:rFonts w:hint="eastAsia" w:ascii="Times New Roman" w:eastAsia="仿宋_GB2312"/>
          <w:sz w:val="32"/>
          <w:szCs w:val="32"/>
          <w:lang w:val="en-US" w:eastAsia="zh-CN"/>
        </w:rPr>
        <w:t>。</w:t>
      </w:r>
    </w:p>
    <w:tbl>
      <w:tblPr>
        <w:tblStyle w:val="10"/>
        <w:tblW w:w="132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1"/>
        <w:gridCol w:w="1066"/>
        <w:gridCol w:w="2976"/>
        <w:gridCol w:w="6875"/>
        <w:gridCol w:w="1773"/>
      </w:tblGrid>
      <w:tr w14:paraId="180FEF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1" w:type="dxa"/>
            <w:shd w:val="clear" w:color="auto" w:fill="auto"/>
            <w:vAlign w:val="center"/>
          </w:tcPr>
          <w:p w14:paraId="0887B451">
            <w:pPr>
              <w:spacing w:line="240" w:lineRule="auto"/>
              <w:jc w:val="center"/>
              <w:rPr>
                <w:rFonts w:hint="eastAsia" w:ascii="黑体" w:hAnsi="黑体" w:eastAsia="黑体"/>
                <w:sz w:val="24"/>
                <w:szCs w:val="24"/>
              </w:rPr>
            </w:pPr>
            <w:r>
              <w:rPr>
                <w:rFonts w:hint="eastAsia" w:ascii="黑体" w:hAnsi="黑体" w:eastAsia="黑体"/>
                <w:sz w:val="24"/>
                <w:szCs w:val="24"/>
              </w:rPr>
              <w:t>序号</w:t>
            </w:r>
          </w:p>
        </w:tc>
        <w:tc>
          <w:tcPr>
            <w:tcW w:w="1066" w:type="dxa"/>
            <w:shd w:val="clear" w:color="auto" w:fill="auto"/>
            <w:vAlign w:val="center"/>
          </w:tcPr>
          <w:p w14:paraId="591D36DB">
            <w:pPr>
              <w:spacing w:line="240" w:lineRule="auto"/>
              <w:jc w:val="center"/>
              <w:rPr>
                <w:rFonts w:hint="eastAsia" w:ascii="黑体" w:hAnsi="黑体" w:eastAsia="黑体"/>
                <w:sz w:val="24"/>
                <w:szCs w:val="24"/>
              </w:rPr>
            </w:pPr>
            <w:r>
              <w:rPr>
                <w:rFonts w:hint="eastAsia" w:ascii="黑体" w:hAnsi="黑体" w:eastAsia="黑体"/>
                <w:sz w:val="24"/>
                <w:szCs w:val="24"/>
              </w:rPr>
              <w:t>地区</w:t>
            </w:r>
          </w:p>
        </w:tc>
        <w:tc>
          <w:tcPr>
            <w:tcW w:w="2976" w:type="dxa"/>
            <w:shd w:val="clear" w:color="auto" w:fill="auto"/>
            <w:vAlign w:val="center"/>
          </w:tcPr>
          <w:p w14:paraId="50CE4893">
            <w:pPr>
              <w:spacing w:line="240" w:lineRule="auto"/>
              <w:jc w:val="center"/>
              <w:rPr>
                <w:rFonts w:hint="eastAsia" w:ascii="黑体" w:hAnsi="黑体" w:eastAsia="黑体"/>
                <w:sz w:val="24"/>
                <w:szCs w:val="24"/>
              </w:rPr>
            </w:pPr>
            <w:r>
              <w:rPr>
                <w:rFonts w:hint="eastAsia" w:ascii="黑体" w:hAnsi="黑体" w:eastAsia="黑体"/>
                <w:sz w:val="24"/>
                <w:szCs w:val="24"/>
              </w:rPr>
              <w:t>群众投诉问题</w:t>
            </w:r>
          </w:p>
        </w:tc>
        <w:tc>
          <w:tcPr>
            <w:tcW w:w="6875" w:type="dxa"/>
            <w:shd w:val="clear" w:color="auto" w:fill="auto"/>
            <w:vAlign w:val="center"/>
          </w:tcPr>
          <w:p w14:paraId="14C30127">
            <w:pPr>
              <w:spacing w:line="240" w:lineRule="auto"/>
              <w:jc w:val="center"/>
              <w:rPr>
                <w:rFonts w:hint="eastAsia" w:ascii="黑体" w:hAnsi="黑体" w:eastAsia="黑体"/>
                <w:sz w:val="24"/>
                <w:szCs w:val="24"/>
              </w:rPr>
            </w:pPr>
            <w:r>
              <w:rPr>
                <w:rFonts w:hint="eastAsia" w:ascii="黑体" w:hAnsi="黑体" w:eastAsia="黑体"/>
                <w:sz w:val="24"/>
                <w:szCs w:val="24"/>
              </w:rPr>
              <w:t>处理情况</w:t>
            </w:r>
          </w:p>
        </w:tc>
        <w:tc>
          <w:tcPr>
            <w:tcW w:w="1773" w:type="dxa"/>
            <w:vAlign w:val="center"/>
          </w:tcPr>
          <w:p w14:paraId="7232B2DE">
            <w:pPr>
              <w:spacing w:line="240" w:lineRule="auto"/>
              <w:jc w:val="center"/>
              <w:rPr>
                <w:rFonts w:hint="eastAsia" w:ascii="黑体" w:hAnsi="黑体" w:eastAsia="黑体"/>
                <w:sz w:val="24"/>
                <w:szCs w:val="24"/>
              </w:rPr>
            </w:pPr>
            <w:r>
              <w:rPr>
                <w:rFonts w:hint="eastAsia" w:ascii="黑体" w:hAnsi="黑体" w:eastAsia="黑体"/>
                <w:sz w:val="24"/>
                <w:szCs w:val="24"/>
              </w:rPr>
              <w:t>备注</w:t>
            </w:r>
          </w:p>
        </w:tc>
      </w:tr>
      <w:tr w14:paraId="72D63E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3656E85D">
            <w:pPr>
              <w:spacing w:line="240" w:lineRule="auto"/>
              <w:rPr>
                <w:rFonts w:hint="eastAsia" w:ascii="宋体" w:hAnsi="宋体" w:eastAsia="宋体"/>
                <w:szCs w:val="21"/>
              </w:rPr>
            </w:pPr>
            <w:r>
              <w:rPr>
                <w:rFonts w:hint="eastAsia" w:ascii="宋体" w:hAnsi="宋体" w:eastAsia="宋体"/>
                <w:szCs w:val="21"/>
              </w:rPr>
              <w:t>1</w:t>
            </w:r>
          </w:p>
        </w:tc>
        <w:tc>
          <w:tcPr>
            <w:tcW w:w="1066" w:type="dxa"/>
            <w:shd w:val="clear" w:color="auto" w:fill="auto"/>
            <w:vAlign w:val="center"/>
          </w:tcPr>
          <w:p w14:paraId="3F1D03EA">
            <w:pPr>
              <w:spacing w:line="240" w:lineRule="auto"/>
              <w:rPr>
                <w:rFonts w:hint="eastAsia" w:ascii="宋体" w:hAnsi="宋体" w:eastAsia="宋体"/>
                <w:szCs w:val="21"/>
                <w:lang w:eastAsia="zh-CN"/>
              </w:rPr>
            </w:pPr>
            <w:r>
              <w:rPr>
                <w:rFonts w:hint="eastAsia" w:ascii="宋体" w:hAnsi="宋体" w:eastAsia="宋体"/>
                <w:szCs w:val="21"/>
              </w:rPr>
              <w:t>张家港</w:t>
            </w:r>
            <w:r>
              <w:rPr>
                <w:rFonts w:hint="eastAsia" w:ascii="宋体" w:hAnsi="宋体" w:eastAsia="宋体"/>
                <w:szCs w:val="21"/>
                <w:lang w:eastAsia="zh-CN"/>
              </w:rPr>
              <w:t>市</w:t>
            </w:r>
          </w:p>
        </w:tc>
        <w:tc>
          <w:tcPr>
            <w:tcW w:w="2976" w:type="dxa"/>
            <w:shd w:val="clear" w:color="auto" w:fill="auto"/>
            <w:vAlign w:val="center"/>
          </w:tcPr>
          <w:p w14:paraId="572BF076">
            <w:pPr>
              <w:spacing w:line="240" w:lineRule="auto"/>
              <w:rPr>
                <w:rFonts w:hint="eastAsia" w:ascii="宋体" w:hAnsi="宋体" w:eastAsia="宋体"/>
                <w:szCs w:val="21"/>
                <w:lang w:val="en-US" w:eastAsia="zh-CN"/>
              </w:rPr>
            </w:pPr>
            <w:r>
              <w:rPr>
                <w:rFonts w:hint="eastAsia" w:ascii="Times New Roman" w:hAnsi="Times New Roman" w:cs="Times New Roman" w:eastAsiaTheme="majorEastAsia"/>
                <w:szCs w:val="32"/>
              </w:rPr>
              <w:t>保税区台湾路苏州张家港市恒隆制管有限责任公司，工厂焚烧塑料包装垃圾。</w:t>
            </w:r>
          </w:p>
        </w:tc>
        <w:tc>
          <w:tcPr>
            <w:tcW w:w="6875" w:type="dxa"/>
            <w:shd w:val="clear" w:color="auto" w:fill="auto"/>
            <w:vAlign w:val="center"/>
          </w:tcPr>
          <w:p w14:paraId="4BB4D182">
            <w:pPr>
              <w:adjustRightInd w:val="0"/>
              <w:spacing w:line="240" w:lineRule="auto"/>
              <w:ind w:firstLine="420" w:firstLineChars="200"/>
              <w:rPr>
                <w:rFonts w:hint="eastAsia" w:ascii="宋体" w:hAnsi="宋体" w:eastAsia="宋体"/>
                <w:szCs w:val="21"/>
                <w:lang w:val="en-US" w:eastAsia="zh-CN"/>
              </w:rPr>
            </w:pPr>
            <w:r>
              <w:rPr>
                <w:rFonts w:hint="eastAsia" w:ascii="Times New Roman" w:hAnsi="Times New Roman" w:cs="Times New Roman" w:eastAsiaTheme="majorEastAsia"/>
                <w:szCs w:val="21"/>
                <w:lang w:eastAsia="zh-CN"/>
              </w:rPr>
              <w:t>张家港生态环境局</w:t>
            </w:r>
            <w:r>
              <w:rPr>
                <w:rFonts w:hint="eastAsia" w:ascii="Times New Roman" w:hAnsi="Times New Roman" w:cs="Times New Roman" w:eastAsiaTheme="majorEastAsia"/>
                <w:szCs w:val="21"/>
              </w:rPr>
              <w:t>组织执法人员赴现场检查，发现</w:t>
            </w:r>
            <w:r>
              <w:rPr>
                <w:rFonts w:hint="eastAsia" w:ascii="Times New Roman" w:hAnsi="Times New Roman" w:cs="Times New Roman" w:eastAsiaTheme="majorEastAsia"/>
                <w:szCs w:val="21"/>
                <w:lang w:val="en-US" w:eastAsia="zh-CN"/>
              </w:rPr>
              <w:t>恒隆钢管公司院内的</w:t>
            </w:r>
            <w:r>
              <w:rPr>
                <w:rFonts w:hint="eastAsia" w:ascii="Times New Roman" w:hAnsi="Times New Roman" w:cs="Times New Roman" w:eastAsiaTheme="majorEastAsia"/>
                <w:szCs w:val="21"/>
              </w:rPr>
              <w:t>亚信汽车零部件精轧车间北侧过道内建有两台茶水炉，与信访件反映的塑料焚烧设备一致，检查时两台茶水炉均未在使用。经查，两台茶水炉主要为车间员工提供茶水，燃料为废旧塑料膜和废木材，其中一台已于2024年初故障后弃用。</w:t>
            </w:r>
            <w:r>
              <w:rPr>
                <w:rFonts w:hint="eastAsia" w:ascii="Times New Roman" w:hAnsi="Times New Roman" w:cs="Times New Roman" w:eastAsiaTheme="majorEastAsia"/>
                <w:szCs w:val="21"/>
                <w:lang w:val="en-US" w:eastAsia="zh-CN"/>
              </w:rPr>
              <w:t>目前</w:t>
            </w:r>
            <w:r>
              <w:rPr>
                <w:rFonts w:hint="eastAsia" w:ascii="Times New Roman" w:hAnsi="Times New Roman" w:cs="Times New Roman" w:eastAsiaTheme="majorEastAsia"/>
                <w:szCs w:val="21"/>
              </w:rPr>
              <w:t>企业已将上述两台茶水炉拆除。</w:t>
            </w:r>
          </w:p>
        </w:tc>
        <w:tc>
          <w:tcPr>
            <w:tcW w:w="1773" w:type="dxa"/>
            <w:vAlign w:val="center"/>
          </w:tcPr>
          <w:p w14:paraId="3E463333">
            <w:pPr>
              <w:adjustRightInd w:val="0"/>
              <w:spacing w:line="240" w:lineRule="auto"/>
              <w:rPr>
                <w:rFonts w:ascii="Times New Roman" w:hAnsi="Times New Roman" w:cs="Times New Roman" w:eastAsiaTheme="majorEastAsia"/>
                <w:szCs w:val="21"/>
              </w:rPr>
            </w:pPr>
          </w:p>
        </w:tc>
      </w:tr>
      <w:tr w14:paraId="043386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25" w:hRule="atLeast"/>
        </w:trPr>
        <w:tc>
          <w:tcPr>
            <w:tcW w:w="531" w:type="dxa"/>
            <w:shd w:val="clear" w:color="auto" w:fill="auto"/>
            <w:vAlign w:val="center"/>
          </w:tcPr>
          <w:p w14:paraId="45BC2F6A">
            <w:pPr>
              <w:spacing w:line="240" w:lineRule="auto"/>
              <w:rPr>
                <w:rFonts w:hint="eastAsia" w:ascii="宋体" w:hAnsi="宋体" w:eastAsia="宋体"/>
                <w:szCs w:val="21"/>
                <w:lang w:val="en-US" w:eastAsia="zh-CN"/>
              </w:rPr>
            </w:pPr>
            <w:r>
              <w:rPr>
                <w:rFonts w:hint="eastAsia" w:ascii="宋体" w:hAnsi="宋体" w:eastAsia="宋体"/>
                <w:szCs w:val="21"/>
                <w:lang w:val="en-US" w:eastAsia="zh-CN"/>
              </w:rPr>
              <w:t>2</w:t>
            </w:r>
          </w:p>
        </w:tc>
        <w:tc>
          <w:tcPr>
            <w:tcW w:w="1066" w:type="dxa"/>
            <w:shd w:val="clear" w:color="auto" w:fill="auto"/>
            <w:vAlign w:val="center"/>
          </w:tcPr>
          <w:p w14:paraId="150F06C5">
            <w:pPr>
              <w:spacing w:line="240" w:lineRule="auto"/>
              <w:rPr>
                <w:rFonts w:hint="eastAsia" w:ascii="宋体" w:hAnsi="宋体" w:eastAsia="宋体"/>
                <w:szCs w:val="21"/>
                <w:lang w:eastAsia="zh-CN"/>
              </w:rPr>
            </w:pPr>
            <w:r>
              <w:rPr>
                <w:rFonts w:hint="eastAsia" w:ascii="宋体" w:hAnsi="宋体" w:eastAsia="宋体"/>
                <w:szCs w:val="21"/>
                <w:lang w:eastAsia="zh-CN"/>
              </w:rPr>
              <w:t>常熟市</w:t>
            </w:r>
          </w:p>
        </w:tc>
        <w:tc>
          <w:tcPr>
            <w:tcW w:w="2976" w:type="dxa"/>
            <w:shd w:val="clear" w:color="auto" w:fill="auto"/>
            <w:vAlign w:val="center"/>
          </w:tcPr>
          <w:p w14:paraId="7FACD94C">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常熟市陈塘印染有限公司长期违法排放未经环保处理的印染废气，污染环境！</w:t>
            </w:r>
          </w:p>
        </w:tc>
        <w:tc>
          <w:tcPr>
            <w:tcW w:w="6875" w:type="dxa"/>
            <w:shd w:val="clear" w:color="auto" w:fill="auto"/>
            <w:vAlign w:val="center"/>
          </w:tcPr>
          <w:p w14:paraId="5942F8A5">
            <w:pPr>
              <w:adjustRightInd w:val="0"/>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eastAsia="zh-CN"/>
              </w:rPr>
              <w:t>2025年5月12日，常熟生态环境局会同海虞镇人民政府对常熟市陈塘印染有限公司开展了现场检查。该公司现有4台定型机、4台印花机、2台蒸化机，定型、印花、蒸化废气共配套3套水喷淋+静电油烟净化装置，废气排气筒安装废气自动监测设备并与常熟生态环境局联网，生产设备和废气治理设施安装用电监控。现场检查时，该公司正在生产，配套的废气治理设施均在运行；查看废气在线监测设备，近期无超标排放情况;查看企业用电监控，产治污设施均同步运行。该公司按排污许可证要求开展自行监测，调阅2025年一季度废气自行监测报告，废气各项指标均达标排放。由于该企业与周边居民较近，在阴雨、低气压或静稳等不利气象条件下，废气可能会对下风向居民造成一定影响。根据现场检查情况，常熟生态环境局要求常熟市陈塘印染有限公司加强管理，缩短喷淋水更换周期、静电场清洗间隔，确保废气治理设施正常运行，废气稳定达标排放，尽最大努力减轻油烟异味对周边居民的影响。</w:t>
            </w:r>
          </w:p>
        </w:tc>
        <w:tc>
          <w:tcPr>
            <w:tcW w:w="1773" w:type="dxa"/>
            <w:vAlign w:val="center"/>
          </w:tcPr>
          <w:p w14:paraId="3385E13E">
            <w:pPr>
              <w:adjustRightInd w:val="0"/>
              <w:spacing w:line="240" w:lineRule="auto"/>
              <w:rPr>
                <w:rFonts w:ascii="Times New Roman" w:hAnsi="Times New Roman" w:cs="Times New Roman" w:eastAsiaTheme="majorEastAsia"/>
                <w:szCs w:val="21"/>
              </w:rPr>
            </w:pPr>
          </w:p>
        </w:tc>
      </w:tr>
      <w:tr w14:paraId="72EDB8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8" w:hRule="atLeast"/>
        </w:trPr>
        <w:tc>
          <w:tcPr>
            <w:tcW w:w="531" w:type="dxa"/>
            <w:shd w:val="clear" w:color="auto" w:fill="auto"/>
            <w:vAlign w:val="center"/>
          </w:tcPr>
          <w:p w14:paraId="62B3B57D">
            <w:pPr>
              <w:spacing w:line="240" w:lineRule="auto"/>
              <w:rPr>
                <w:rFonts w:hint="default" w:ascii="宋体" w:hAnsi="宋体" w:eastAsia="宋体"/>
                <w:szCs w:val="21"/>
                <w:lang w:val="en-US" w:eastAsia="zh-CN"/>
              </w:rPr>
            </w:pPr>
            <w:r>
              <w:rPr>
                <w:rFonts w:hint="eastAsia" w:ascii="宋体" w:hAnsi="宋体" w:eastAsia="宋体"/>
                <w:szCs w:val="21"/>
                <w:lang w:val="en-US" w:eastAsia="zh-CN"/>
              </w:rPr>
              <w:t>3</w:t>
            </w:r>
          </w:p>
        </w:tc>
        <w:tc>
          <w:tcPr>
            <w:tcW w:w="1066" w:type="dxa"/>
            <w:shd w:val="clear" w:color="auto" w:fill="auto"/>
            <w:vAlign w:val="center"/>
          </w:tcPr>
          <w:p w14:paraId="7E6B1670">
            <w:pPr>
              <w:spacing w:line="240" w:lineRule="auto"/>
              <w:rPr>
                <w:rFonts w:hint="eastAsia" w:ascii="宋体" w:hAnsi="宋体" w:eastAsia="宋体"/>
                <w:szCs w:val="21"/>
                <w:lang w:eastAsia="zh-CN"/>
              </w:rPr>
            </w:pPr>
            <w:r>
              <w:rPr>
                <w:rFonts w:hint="eastAsia" w:ascii="宋体" w:hAnsi="宋体" w:eastAsia="宋体"/>
                <w:szCs w:val="21"/>
                <w:lang w:eastAsia="zh-CN"/>
              </w:rPr>
              <w:t>太仓市</w:t>
            </w:r>
          </w:p>
        </w:tc>
        <w:tc>
          <w:tcPr>
            <w:tcW w:w="2976" w:type="dxa"/>
            <w:shd w:val="clear" w:color="auto" w:fill="auto"/>
            <w:vAlign w:val="center"/>
          </w:tcPr>
          <w:p w14:paraId="0349AEB8">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太</w:t>
            </w:r>
            <w:r>
              <w:rPr>
                <w:rFonts w:hint="eastAsia" w:ascii="Times New Roman" w:hAnsi="Times New Roman" w:cs="Times New Roman" w:eastAsiaTheme="majorEastAsia"/>
                <w:szCs w:val="32"/>
              </w:rPr>
              <w:t>仓市沙溪镇苏州百因诺生物科技有限公司，员工将部分含有化学品和含有生物危害的废弃物偷偷倾倒在水池内，给环境带来一定危害</w:t>
            </w:r>
          </w:p>
        </w:tc>
        <w:tc>
          <w:tcPr>
            <w:tcW w:w="6875" w:type="dxa"/>
            <w:shd w:val="clear" w:color="auto" w:fill="auto"/>
            <w:vAlign w:val="center"/>
          </w:tcPr>
          <w:p w14:paraId="78F3BE5A">
            <w:pPr>
              <w:adjustRightInd w:val="0"/>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eastAsia="zh-CN"/>
              </w:rPr>
              <w:t>现场未发现企业实验室内将废液倒入水池的情况。企业实验室内设有废液收集桶，收集的实验室废液作为危废委托有资质单位处理；实验室水池的清洗废水收集接入自建污水处理站处理后回用，不对外排放。太仓生态环境局已要求企业加强管理，严格按照环评要求，规范收集处置各项污染物。</w:t>
            </w:r>
          </w:p>
        </w:tc>
        <w:tc>
          <w:tcPr>
            <w:tcW w:w="1773" w:type="dxa"/>
            <w:vAlign w:val="center"/>
          </w:tcPr>
          <w:p w14:paraId="280E5F3B">
            <w:pPr>
              <w:adjustRightInd w:val="0"/>
              <w:spacing w:line="240" w:lineRule="auto"/>
              <w:rPr>
                <w:rFonts w:ascii="Times New Roman" w:hAnsi="Times New Roman" w:cs="Times New Roman" w:eastAsiaTheme="majorEastAsia"/>
                <w:szCs w:val="21"/>
              </w:rPr>
            </w:pPr>
          </w:p>
        </w:tc>
      </w:tr>
      <w:tr w14:paraId="79A648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468E3933">
            <w:pPr>
              <w:spacing w:line="240" w:lineRule="auto"/>
              <w:rPr>
                <w:rFonts w:hint="default" w:ascii="宋体" w:hAnsi="宋体" w:eastAsia="宋体"/>
                <w:szCs w:val="21"/>
                <w:lang w:val="en-US" w:eastAsia="zh-CN"/>
              </w:rPr>
            </w:pPr>
            <w:r>
              <w:rPr>
                <w:rFonts w:hint="eastAsia" w:ascii="宋体" w:hAnsi="宋体" w:eastAsia="宋体"/>
                <w:szCs w:val="21"/>
                <w:lang w:val="en-US" w:eastAsia="zh-CN"/>
              </w:rPr>
              <w:t>4</w:t>
            </w:r>
          </w:p>
        </w:tc>
        <w:tc>
          <w:tcPr>
            <w:tcW w:w="1066" w:type="dxa"/>
            <w:shd w:val="clear" w:color="auto" w:fill="auto"/>
            <w:vAlign w:val="center"/>
          </w:tcPr>
          <w:p w14:paraId="23A31216">
            <w:pPr>
              <w:spacing w:line="240" w:lineRule="auto"/>
              <w:rPr>
                <w:rFonts w:hint="eastAsia" w:ascii="宋体" w:hAnsi="宋体" w:eastAsia="宋体"/>
                <w:szCs w:val="21"/>
                <w:lang w:eastAsia="zh-CN"/>
              </w:rPr>
            </w:pPr>
            <w:r>
              <w:rPr>
                <w:rFonts w:hint="eastAsia" w:ascii="宋体" w:hAnsi="宋体" w:eastAsia="宋体"/>
                <w:szCs w:val="21"/>
                <w:lang w:eastAsia="zh-CN"/>
              </w:rPr>
              <w:t>昆山市</w:t>
            </w:r>
          </w:p>
        </w:tc>
        <w:tc>
          <w:tcPr>
            <w:tcW w:w="2976" w:type="dxa"/>
            <w:shd w:val="clear" w:color="auto" w:fill="auto"/>
            <w:vAlign w:val="center"/>
          </w:tcPr>
          <w:p w14:paraId="704823D1">
            <w:pPr>
              <w:spacing w:line="240" w:lineRule="auto"/>
              <w:rPr>
                <w:rFonts w:hint="eastAsia" w:ascii="Times New Roman" w:hAnsi="Times New Roman" w:cs="Times New Roman" w:eastAsiaTheme="majorEastAsia"/>
                <w:szCs w:val="32"/>
                <w:lang w:val="en-US" w:eastAsia="zh-CN"/>
              </w:rPr>
            </w:pPr>
            <w:r>
              <w:rPr>
                <w:rFonts w:hint="default" w:ascii="Times New Roman" w:hAnsi="Times New Roman" w:cs="Times New Roman" w:eastAsiaTheme="majorEastAsia"/>
                <w:szCs w:val="32"/>
                <w:lang w:val="en-US" w:eastAsia="zh-CN"/>
              </w:rPr>
              <w:t>衡山路21会所楼顶机器设备噪音扰民</w:t>
            </w:r>
            <w:r>
              <w:rPr>
                <w:rFonts w:hint="eastAsia" w:ascii="Times New Roman" w:hAnsi="Times New Roman" w:cs="Times New Roman" w:eastAsiaTheme="majorEastAsia"/>
                <w:szCs w:val="32"/>
                <w:lang w:val="en-US" w:eastAsia="zh-CN"/>
              </w:rPr>
              <w:t>。</w:t>
            </w:r>
          </w:p>
        </w:tc>
        <w:tc>
          <w:tcPr>
            <w:tcW w:w="6875" w:type="dxa"/>
            <w:shd w:val="clear" w:color="auto" w:fill="auto"/>
            <w:vAlign w:val="center"/>
          </w:tcPr>
          <w:p w14:paraId="6A73CF2C">
            <w:pPr>
              <w:adjustRightInd w:val="0"/>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val="en-US" w:eastAsia="zh-CN"/>
              </w:rPr>
              <w:t>昆山生态环境局执法人员对衡山路21会所进行检查，该会所主要经营范围为游泳池、健身房、篮球馆等，现场对会所楼顶进行查查，楼顶建设有空调外机、排风扇等，检查时排风扇正在运行。现场负责人介绍该会所营业时间至晚间8点，执法人员已经要求现场负责人晚间营业结束后，及时关闭楼顶设备，并加强对楼顶的设备进行巡查维护，防止噪声扰民。</w:t>
            </w:r>
          </w:p>
        </w:tc>
        <w:tc>
          <w:tcPr>
            <w:tcW w:w="1773" w:type="dxa"/>
            <w:vAlign w:val="center"/>
          </w:tcPr>
          <w:p w14:paraId="45CDC0FC">
            <w:pPr>
              <w:adjustRightInd w:val="0"/>
              <w:spacing w:line="240" w:lineRule="auto"/>
              <w:rPr>
                <w:rFonts w:ascii="Times New Roman" w:hAnsi="Times New Roman" w:cs="Times New Roman" w:eastAsiaTheme="majorEastAsia"/>
                <w:szCs w:val="21"/>
              </w:rPr>
            </w:pPr>
          </w:p>
        </w:tc>
      </w:tr>
      <w:tr w14:paraId="457D7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18" w:hRule="atLeast"/>
        </w:trPr>
        <w:tc>
          <w:tcPr>
            <w:tcW w:w="531" w:type="dxa"/>
            <w:shd w:val="clear" w:color="auto" w:fill="auto"/>
            <w:vAlign w:val="center"/>
          </w:tcPr>
          <w:p w14:paraId="0A7090DB">
            <w:pPr>
              <w:spacing w:line="240" w:lineRule="auto"/>
              <w:rPr>
                <w:rFonts w:hint="default" w:ascii="宋体" w:hAnsi="宋体" w:eastAsia="宋体"/>
                <w:szCs w:val="21"/>
                <w:lang w:val="en-US" w:eastAsia="zh-CN"/>
              </w:rPr>
            </w:pPr>
            <w:r>
              <w:rPr>
                <w:rFonts w:hint="eastAsia" w:ascii="宋体" w:hAnsi="宋体" w:eastAsia="宋体"/>
                <w:szCs w:val="21"/>
                <w:lang w:val="en-US" w:eastAsia="zh-CN"/>
              </w:rPr>
              <w:t>5</w:t>
            </w:r>
          </w:p>
        </w:tc>
        <w:tc>
          <w:tcPr>
            <w:tcW w:w="1066" w:type="dxa"/>
            <w:shd w:val="clear" w:color="auto" w:fill="auto"/>
            <w:vAlign w:val="center"/>
          </w:tcPr>
          <w:p w14:paraId="411E885E">
            <w:pPr>
              <w:spacing w:line="240" w:lineRule="auto"/>
              <w:rPr>
                <w:rFonts w:hint="eastAsia" w:ascii="宋体" w:hAnsi="宋体" w:eastAsia="宋体"/>
                <w:szCs w:val="21"/>
                <w:lang w:eastAsia="zh-CN"/>
              </w:rPr>
            </w:pPr>
            <w:r>
              <w:rPr>
                <w:rFonts w:hint="eastAsia" w:ascii="宋体" w:hAnsi="宋体" w:eastAsia="宋体"/>
                <w:szCs w:val="21"/>
                <w:lang w:eastAsia="zh-CN"/>
              </w:rPr>
              <w:t>吴江区</w:t>
            </w:r>
          </w:p>
        </w:tc>
        <w:tc>
          <w:tcPr>
            <w:tcW w:w="2976" w:type="dxa"/>
            <w:shd w:val="clear" w:color="auto" w:fill="auto"/>
            <w:vAlign w:val="center"/>
          </w:tcPr>
          <w:p w14:paraId="4E3D0070">
            <w:pPr>
              <w:spacing w:line="240" w:lineRule="auto"/>
              <w:rPr>
                <w:rFonts w:hint="eastAsia" w:ascii="Times New Roman" w:hAnsi="Times New Roman" w:cs="Times New Roman" w:eastAsiaTheme="majorEastAsia"/>
                <w:szCs w:val="32"/>
              </w:rPr>
            </w:pPr>
            <w:r>
              <w:rPr>
                <w:rFonts w:hint="eastAsia" w:ascii="Times New Roman" w:hAnsi="Times New Roman" w:cs="Times New Roman" w:eastAsiaTheme="majorEastAsia"/>
                <w:szCs w:val="32"/>
                <w:lang w:val="en-US" w:eastAsia="zh-CN"/>
              </w:rPr>
              <w:t>其是东太湖度假区（太湖新城）松陵街道华润尚林华庭的居民，小区南面有几家工厂，夜间经常能闻到酸性刺鼻气味（时间：5月25日下午4点左右开始），浓度很高味道很大，闻了之后有头痛的情况，是附近的工厂排放的废气，其来电反映后仍未得到处理，希望部门立即派人到现场排查。</w:t>
            </w:r>
          </w:p>
        </w:tc>
        <w:tc>
          <w:tcPr>
            <w:tcW w:w="6875" w:type="dxa"/>
            <w:shd w:val="clear" w:color="auto" w:fill="auto"/>
            <w:vAlign w:val="center"/>
          </w:tcPr>
          <w:p w14:paraId="315399E8">
            <w:pPr>
              <w:adjustRightInd w:val="0"/>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21"/>
                <w:lang w:val="en-US" w:eastAsia="zh-CN"/>
              </w:rPr>
              <w:t>2025年6月19日夜间、20日，苏州市吴江生态环境综合行政执法局执法人员再次对市民反映的区域进行现场排查，未发现市民反映的酸性刺鼻气味。前期检查时发现，苏州柯佑材料科技有限公司，位于吴江区友谊路128号，主要从事电子薄膜生产，在涂布工段有挥发性有机废气产生，配套建设有RTO（蓄热式焚烧）废气处理设施进行处理，但排放口下风向处仍能闻到一定异味。针对上述情况，企业已启动对废气处理设施的停产升级改造工作。6月19日夜间对该企业现场检查时，企业正常生产，新的废气处理设备已安装完成并投入运行，厂区周边未闻到明显异味，在排放口下风向使用便携式VOCs检测仪检测，显示读数为0。针对上述情况，吴江生态环境局已要求加强环境管理，确保后续设备稳定达标运行。下一步，吴江生态环境局将继续加强对该区域的巡查力度。</w:t>
            </w:r>
          </w:p>
        </w:tc>
        <w:tc>
          <w:tcPr>
            <w:tcW w:w="1773" w:type="dxa"/>
            <w:vAlign w:val="center"/>
          </w:tcPr>
          <w:p w14:paraId="080B4F2C">
            <w:pPr>
              <w:adjustRightInd w:val="0"/>
              <w:spacing w:line="240" w:lineRule="auto"/>
              <w:rPr>
                <w:rFonts w:ascii="Times New Roman" w:hAnsi="Times New Roman" w:cs="Times New Roman" w:eastAsiaTheme="majorEastAsia"/>
                <w:szCs w:val="21"/>
              </w:rPr>
            </w:pPr>
          </w:p>
        </w:tc>
      </w:tr>
      <w:tr w14:paraId="1FD243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27" w:hRule="atLeast"/>
        </w:trPr>
        <w:tc>
          <w:tcPr>
            <w:tcW w:w="531" w:type="dxa"/>
            <w:shd w:val="clear" w:color="auto" w:fill="auto"/>
            <w:vAlign w:val="center"/>
          </w:tcPr>
          <w:p w14:paraId="7F4BDDAB">
            <w:pPr>
              <w:spacing w:line="240" w:lineRule="auto"/>
              <w:rPr>
                <w:rFonts w:hint="default" w:ascii="宋体" w:hAnsi="宋体" w:eastAsia="宋体"/>
                <w:szCs w:val="21"/>
                <w:lang w:val="en-US" w:eastAsia="zh-CN"/>
              </w:rPr>
            </w:pPr>
            <w:r>
              <w:rPr>
                <w:rFonts w:hint="eastAsia" w:ascii="宋体" w:hAnsi="宋体" w:eastAsia="宋体"/>
                <w:szCs w:val="21"/>
                <w:lang w:val="en-US" w:eastAsia="zh-CN"/>
              </w:rPr>
              <w:t>6</w:t>
            </w:r>
          </w:p>
        </w:tc>
        <w:tc>
          <w:tcPr>
            <w:tcW w:w="1066" w:type="dxa"/>
            <w:shd w:val="clear" w:color="auto" w:fill="auto"/>
            <w:vAlign w:val="center"/>
          </w:tcPr>
          <w:p w14:paraId="70348C81">
            <w:pPr>
              <w:spacing w:line="240" w:lineRule="auto"/>
              <w:rPr>
                <w:rFonts w:hint="eastAsia" w:ascii="宋体" w:hAnsi="宋体" w:eastAsia="宋体"/>
                <w:szCs w:val="21"/>
                <w:lang w:eastAsia="zh-CN"/>
              </w:rPr>
            </w:pPr>
            <w:r>
              <w:rPr>
                <w:rFonts w:hint="eastAsia" w:ascii="宋体" w:hAnsi="宋体" w:eastAsia="宋体"/>
                <w:szCs w:val="21"/>
                <w:lang w:eastAsia="zh-CN"/>
              </w:rPr>
              <w:t>吴中区</w:t>
            </w:r>
          </w:p>
        </w:tc>
        <w:tc>
          <w:tcPr>
            <w:tcW w:w="2976" w:type="dxa"/>
            <w:shd w:val="clear" w:color="auto" w:fill="auto"/>
            <w:vAlign w:val="center"/>
          </w:tcPr>
          <w:p w14:paraId="6CC2C711">
            <w:pPr>
              <w:spacing w:line="240" w:lineRule="auto"/>
              <w:rPr>
                <w:rFonts w:hint="eastAsia" w:ascii="Times New Roman" w:hAnsi="Times New Roman" w:cs="Times New Roman" w:eastAsiaTheme="majorEastAsia"/>
                <w:szCs w:val="32"/>
                <w:lang w:val="en-US" w:eastAsia="zh-CN"/>
              </w:rPr>
            </w:pPr>
            <w:r>
              <w:rPr>
                <w:rFonts w:hint="default" w:ascii="Times New Roman" w:hAnsi="Times New Roman" w:cs="Times New Roman" w:eastAsiaTheme="majorEastAsia"/>
                <w:szCs w:val="32"/>
                <w:lang w:val="en-US" w:eastAsia="zh-CN"/>
              </w:rPr>
              <w:t>吴中区淞葭路苏州新华美塑料有限公司</w:t>
            </w:r>
            <w:r>
              <w:rPr>
                <w:rFonts w:hint="eastAsia" w:ascii="Times New Roman" w:hAnsi="Times New Roman" w:cs="Times New Roman" w:eastAsiaTheme="majorEastAsia"/>
                <w:szCs w:val="32"/>
                <w:lang w:val="en-US" w:eastAsia="zh-CN"/>
              </w:rPr>
              <w:t>有塑料气味排放</w:t>
            </w:r>
            <w:r>
              <w:rPr>
                <w:rFonts w:hint="default" w:ascii="Times New Roman" w:hAnsi="Times New Roman" w:cs="Times New Roman" w:eastAsiaTheme="majorEastAsia"/>
                <w:szCs w:val="32"/>
                <w:lang w:val="en-US" w:eastAsia="zh-CN"/>
              </w:rPr>
              <w:t>，望部门处理。</w:t>
            </w:r>
          </w:p>
        </w:tc>
        <w:tc>
          <w:tcPr>
            <w:tcW w:w="6875" w:type="dxa"/>
            <w:shd w:val="clear" w:color="auto" w:fill="auto"/>
            <w:vAlign w:val="center"/>
          </w:tcPr>
          <w:p w14:paraId="493448F8">
            <w:pPr>
              <w:adjustRightInd w:val="0"/>
              <w:spacing w:line="240" w:lineRule="auto"/>
              <w:ind w:firstLine="420" w:firstLineChars="200"/>
              <w:rPr>
                <w:rFonts w:hint="eastAsia" w:ascii="Times New Roman" w:hAnsi="Times New Roman" w:cs="Times New Roman" w:eastAsiaTheme="majorEastAsia"/>
                <w:szCs w:val="32"/>
                <w:lang w:val="en-US" w:eastAsia="zh-CN"/>
              </w:rPr>
            </w:pPr>
            <w:r>
              <w:rPr>
                <w:rFonts w:hint="default" w:ascii="Times New Roman" w:hAnsi="Times New Roman" w:cs="Times New Roman" w:eastAsiaTheme="majorEastAsia"/>
                <w:szCs w:val="21"/>
                <w:lang w:val="en-US" w:eastAsia="zh-CN"/>
              </w:rPr>
              <w:t>经查，新华美主要从事塑料粒子生产，现有16条造粒挤出机，8台注塑机，生产工序均在密闭车间内，该企业配备了两套废气处理设施，其中产生的高浓度废气经二级旋流塔-水汽分离-活性棉吸附-静电除油器-活性炭处理，产生的低浓度废气经活性炭吸附处理，两道废气汇集后高空排放。新华美东侧</w:t>
            </w:r>
            <w:r>
              <w:rPr>
                <w:rFonts w:hint="eastAsia" w:ascii="Times New Roman" w:hAnsi="Times New Roman" w:cs="Times New Roman" w:eastAsiaTheme="majorEastAsia"/>
                <w:szCs w:val="21"/>
                <w:lang w:val="en-US" w:eastAsia="zh-CN"/>
              </w:rPr>
              <w:t>为其他企业的办公楼</w:t>
            </w:r>
            <w:r>
              <w:rPr>
                <w:rFonts w:hint="default" w:ascii="Times New Roman" w:hAnsi="Times New Roman" w:cs="Times New Roman" w:eastAsiaTheme="majorEastAsia"/>
                <w:szCs w:val="21"/>
                <w:lang w:val="en-US" w:eastAsia="zh-CN"/>
              </w:rPr>
              <w:t>。</w:t>
            </w:r>
            <w:r>
              <w:rPr>
                <w:rFonts w:hint="eastAsia" w:ascii="Times New Roman" w:hAnsi="Times New Roman" w:cs="Times New Roman" w:eastAsiaTheme="majorEastAsia"/>
                <w:szCs w:val="21"/>
                <w:lang w:val="en-US" w:eastAsia="zh-CN"/>
              </w:rPr>
              <w:t>为</w:t>
            </w:r>
            <w:r>
              <w:rPr>
                <w:rFonts w:hint="default" w:ascii="Times New Roman" w:hAnsi="Times New Roman" w:cs="Times New Roman" w:eastAsiaTheme="majorEastAsia"/>
                <w:szCs w:val="21"/>
                <w:lang w:val="en-US" w:eastAsia="zh-CN"/>
              </w:rPr>
              <w:t>减少废气对办公楼的影响，</w:t>
            </w:r>
            <w:r>
              <w:rPr>
                <w:rFonts w:hint="eastAsia" w:ascii="Times New Roman" w:hAnsi="Times New Roman" w:cs="Times New Roman" w:eastAsiaTheme="majorEastAsia"/>
                <w:szCs w:val="21"/>
                <w:lang w:val="en-US" w:eastAsia="zh-CN"/>
              </w:rPr>
              <w:t>企业</w:t>
            </w:r>
            <w:r>
              <w:rPr>
                <w:rFonts w:hint="default" w:ascii="Times New Roman" w:hAnsi="Times New Roman" w:cs="Times New Roman" w:eastAsiaTheme="majorEastAsia"/>
                <w:szCs w:val="21"/>
                <w:lang w:val="en-US" w:eastAsia="zh-CN"/>
              </w:rPr>
              <w:t>决定将排口</w:t>
            </w:r>
            <w:r>
              <w:rPr>
                <w:rFonts w:hint="eastAsia" w:ascii="Times New Roman" w:hAnsi="Times New Roman" w:cs="Times New Roman" w:eastAsiaTheme="majorEastAsia"/>
                <w:szCs w:val="21"/>
                <w:lang w:val="en-US" w:eastAsia="zh-CN"/>
              </w:rPr>
              <w:t>位置</w:t>
            </w:r>
            <w:r>
              <w:rPr>
                <w:rFonts w:hint="default" w:ascii="Times New Roman" w:hAnsi="Times New Roman" w:cs="Times New Roman" w:eastAsiaTheme="majorEastAsia"/>
                <w:szCs w:val="21"/>
                <w:lang w:val="en-US" w:eastAsia="zh-CN"/>
              </w:rPr>
              <w:t>向西北方向外移40米</w:t>
            </w:r>
            <w:r>
              <w:rPr>
                <w:rFonts w:hint="eastAsia" w:ascii="Times New Roman" w:hAnsi="Times New Roman" w:cs="Times New Roman" w:eastAsiaTheme="majorEastAsia"/>
                <w:szCs w:val="21"/>
                <w:lang w:val="en-US" w:eastAsia="zh-CN"/>
              </w:rPr>
              <w:t>，</w:t>
            </w:r>
            <w:r>
              <w:rPr>
                <w:rFonts w:hint="default" w:ascii="Times New Roman" w:hAnsi="Times New Roman" w:cs="Times New Roman" w:eastAsiaTheme="majorEastAsia"/>
                <w:szCs w:val="21"/>
                <w:lang w:val="en-US" w:eastAsia="zh-CN"/>
              </w:rPr>
              <w:t>目前已完成外移方案设计。</w:t>
            </w:r>
          </w:p>
        </w:tc>
        <w:tc>
          <w:tcPr>
            <w:tcW w:w="1773" w:type="dxa"/>
            <w:vAlign w:val="center"/>
          </w:tcPr>
          <w:p w14:paraId="75596FF7">
            <w:pPr>
              <w:adjustRightInd w:val="0"/>
              <w:spacing w:line="240" w:lineRule="auto"/>
              <w:rPr>
                <w:rFonts w:ascii="Times New Roman" w:hAnsi="Times New Roman" w:cs="Times New Roman" w:eastAsiaTheme="majorEastAsia"/>
                <w:szCs w:val="21"/>
              </w:rPr>
            </w:pPr>
          </w:p>
        </w:tc>
      </w:tr>
      <w:tr w14:paraId="20BEA9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5" w:hRule="atLeast"/>
        </w:trPr>
        <w:tc>
          <w:tcPr>
            <w:tcW w:w="531" w:type="dxa"/>
            <w:shd w:val="clear" w:color="auto" w:fill="auto"/>
            <w:vAlign w:val="center"/>
          </w:tcPr>
          <w:p w14:paraId="7DE85F65">
            <w:pPr>
              <w:spacing w:line="240" w:lineRule="auto"/>
              <w:rPr>
                <w:rFonts w:hint="default" w:ascii="宋体" w:hAnsi="宋体" w:eastAsia="宋体"/>
                <w:szCs w:val="21"/>
                <w:lang w:val="en-US" w:eastAsia="zh-CN"/>
              </w:rPr>
            </w:pPr>
            <w:r>
              <w:rPr>
                <w:rFonts w:hint="eastAsia" w:ascii="宋体" w:hAnsi="宋体" w:eastAsia="宋体"/>
                <w:szCs w:val="21"/>
                <w:lang w:val="en-US" w:eastAsia="zh-CN"/>
              </w:rPr>
              <w:t>7</w:t>
            </w:r>
          </w:p>
        </w:tc>
        <w:tc>
          <w:tcPr>
            <w:tcW w:w="1066" w:type="dxa"/>
            <w:shd w:val="clear" w:color="auto" w:fill="auto"/>
            <w:vAlign w:val="center"/>
          </w:tcPr>
          <w:p w14:paraId="4729B4DE">
            <w:pPr>
              <w:spacing w:line="240" w:lineRule="auto"/>
              <w:rPr>
                <w:rFonts w:hint="eastAsia" w:ascii="宋体" w:hAnsi="宋体" w:eastAsia="宋体"/>
                <w:szCs w:val="21"/>
                <w:lang w:eastAsia="zh-CN"/>
              </w:rPr>
            </w:pPr>
            <w:r>
              <w:rPr>
                <w:rFonts w:hint="eastAsia" w:ascii="宋体" w:hAnsi="宋体" w:eastAsia="宋体"/>
                <w:szCs w:val="21"/>
                <w:lang w:eastAsia="zh-CN"/>
              </w:rPr>
              <w:t>相城区</w:t>
            </w:r>
          </w:p>
        </w:tc>
        <w:tc>
          <w:tcPr>
            <w:tcW w:w="2976" w:type="dxa"/>
            <w:shd w:val="clear" w:color="auto" w:fill="auto"/>
            <w:vAlign w:val="center"/>
          </w:tcPr>
          <w:p w14:paraId="65194E65">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相城天虹商场使用的冷却塔位于4号住宅楼顶部噪声扰民。</w:t>
            </w:r>
          </w:p>
        </w:tc>
        <w:tc>
          <w:tcPr>
            <w:tcW w:w="6875" w:type="dxa"/>
            <w:shd w:val="clear" w:color="auto" w:fill="auto"/>
            <w:vAlign w:val="center"/>
          </w:tcPr>
          <w:p w14:paraId="519CB4A5">
            <w:pPr>
              <w:keepNext w:val="0"/>
              <w:keepLines w:val="0"/>
              <w:pageBreakBefore w:val="0"/>
              <w:widowControl w:val="0"/>
              <w:kinsoku/>
              <w:wordWrap/>
              <w:overflowPunct/>
              <w:topLinePunct w:val="0"/>
              <w:autoSpaceDE/>
              <w:autoSpaceDN/>
              <w:bidi w:val="0"/>
              <w:adjustRightInd w:val="0"/>
              <w:snapToGrid/>
              <w:spacing w:line="300" w:lineRule="exact"/>
              <w:ind w:firstLine="420" w:firstLineChars="200"/>
              <w:textAlignment w:val="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val="en-US" w:eastAsia="zh-CN"/>
              </w:rPr>
              <w:t>接诉后，对举报人反映的地点进行现场检查。经查，相城区天虹商业体4号楼一至三楼为商场，四楼及以上为办公及公寓房。现场检查时，噪声主要由4号楼楼顶的商场空调冷却塔运行所产生。现场已要求物业方加强管理，努力减少冷却塔噪声对周边环境造成的影响。</w:t>
            </w:r>
          </w:p>
        </w:tc>
        <w:tc>
          <w:tcPr>
            <w:tcW w:w="1773" w:type="dxa"/>
            <w:vAlign w:val="center"/>
          </w:tcPr>
          <w:p w14:paraId="239013A8">
            <w:pPr>
              <w:adjustRightInd w:val="0"/>
              <w:spacing w:line="240" w:lineRule="auto"/>
              <w:rPr>
                <w:rFonts w:ascii="Times New Roman" w:hAnsi="Times New Roman" w:cs="Times New Roman" w:eastAsiaTheme="majorEastAsia"/>
                <w:szCs w:val="21"/>
              </w:rPr>
            </w:pPr>
          </w:p>
        </w:tc>
      </w:tr>
      <w:tr w14:paraId="43FCEB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58" w:hRule="atLeast"/>
        </w:trPr>
        <w:tc>
          <w:tcPr>
            <w:tcW w:w="531" w:type="dxa"/>
            <w:shd w:val="clear" w:color="auto" w:fill="auto"/>
            <w:vAlign w:val="center"/>
          </w:tcPr>
          <w:p w14:paraId="39B5CB2A">
            <w:pPr>
              <w:spacing w:line="240" w:lineRule="auto"/>
              <w:rPr>
                <w:rFonts w:hint="default" w:ascii="宋体" w:hAnsi="宋体" w:eastAsia="宋体"/>
                <w:szCs w:val="21"/>
                <w:lang w:val="en-US" w:eastAsia="zh-CN"/>
              </w:rPr>
            </w:pPr>
            <w:r>
              <w:rPr>
                <w:rFonts w:hint="eastAsia" w:ascii="宋体" w:hAnsi="宋体" w:eastAsia="宋体"/>
                <w:szCs w:val="21"/>
                <w:lang w:val="en-US" w:eastAsia="zh-CN"/>
              </w:rPr>
              <w:t>8</w:t>
            </w:r>
          </w:p>
        </w:tc>
        <w:tc>
          <w:tcPr>
            <w:tcW w:w="1066" w:type="dxa"/>
            <w:shd w:val="clear" w:color="auto" w:fill="auto"/>
            <w:vAlign w:val="center"/>
          </w:tcPr>
          <w:p w14:paraId="0DA0A726">
            <w:pPr>
              <w:spacing w:line="240" w:lineRule="auto"/>
              <w:rPr>
                <w:rFonts w:hint="eastAsia" w:ascii="宋体" w:hAnsi="宋体" w:eastAsia="宋体"/>
                <w:szCs w:val="21"/>
                <w:lang w:eastAsia="zh-CN"/>
              </w:rPr>
            </w:pPr>
            <w:r>
              <w:rPr>
                <w:rFonts w:hint="eastAsia" w:ascii="宋体" w:hAnsi="宋体" w:eastAsia="宋体"/>
                <w:szCs w:val="21"/>
                <w:lang w:eastAsia="zh-CN"/>
              </w:rPr>
              <w:t>姑苏区</w:t>
            </w:r>
          </w:p>
        </w:tc>
        <w:tc>
          <w:tcPr>
            <w:tcW w:w="2976" w:type="dxa"/>
            <w:shd w:val="clear" w:color="auto" w:fill="auto"/>
            <w:vAlign w:val="center"/>
          </w:tcPr>
          <w:p w14:paraId="65C03F93">
            <w:pPr>
              <w:spacing w:line="240" w:lineRule="auto"/>
              <w:rPr>
                <w:rFonts w:hint="default"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平江商业广场排气管通宵大噪音扰民。</w:t>
            </w:r>
          </w:p>
        </w:tc>
        <w:tc>
          <w:tcPr>
            <w:tcW w:w="6875" w:type="dxa"/>
            <w:shd w:val="clear" w:color="auto" w:fill="auto"/>
            <w:vAlign w:val="center"/>
          </w:tcPr>
          <w:p w14:paraId="2AF04B53">
            <w:pPr>
              <w:keepNext w:val="0"/>
              <w:keepLines w:val="0"/>
              <w:pageBreakBefore w:val="0"/>
              <w:widowControl w:val="0"/>
              <w:kinsoku/>
              <w:wordWrap/>
              <w:overflowPunct/>
              <w:topLinePunct w:val="0"/>
              <w:autoSpaceDE/>
              <w:autoSpaceDN/>
              <w:bidi w:val="0"/>
              <w:adjustRightInd w:val="0"/>
              <w:snapToGrid/>
              <w:spacing w:line="300" w:lineRule="exact"/>
              <w:ind w:firstLine="420" w:firstLineChars="200"/>
              <w:textAlignment w:val="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val="en-US" w:eastAsia="zh-CN"/>
              </w:rPr>
              <w:t>2025年6月18日，姑苏生态环境局执法人员对投诉反映的平江商业广场进行检查，经查，投诉人反映的排烟风机为该商业广场餐饮排风风机，检查现场风机噪声较大。物业负责人表示该排风风机轴承损坏，已联系维保单位进行更换。物业公司已与投诉人取得联系，承诺每日晚间21:00前关闭风机。姑苏生态环境局执法人员要求物业方加强管理，定期对设备进行巡查，避免噪声扰民。</w:t>
            </w:r>
          </w:p>
        </w:tc>
        <w:tc>
          <w:tcPr>
            <w:tcW w:w="1773" w:type="dxa"/>
            <w:vAlign w:val="center"/>
          </w:tcPr>
          <w:p w14:paraId="6FBCE74E">
            <w:pPr>
              <w:adjustRightInd w:val="0"/>
              <w:spacing w:line="240" w:lineRule="auto"/>
              <w:rPr>
                <w:rFonts w:ascii="Times New Roman" w:hAnsi="Times New Roman" w:cs="Times New Roman" w:eastAsiaTheme="majorEastAsia"/>
                <w:szCs w:val="21"/>
              </w:rPr>
            </w:pPr>
          </w:p>
        </w:tc>
      </w:tr>
      <w:tr w14:paraId="3868B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531" w:type="dxa"/>
            <w:shd w:val="clear" w:color="auto" w:fill="auto"/>
            <w:vAlign w:val="center"/>
          </w:tcPr>
          <w:p w14:paraId="4E3F6548">
            <w:pPr>
              <w:spacing w:line="240" w:lineRule="auto"/>
              <w:rPr>
                <w:rFonts w:hint="default" w:ascii="宋体" w:hAnsi="宋体" w:eastAsia="宋体"/>
                <w:szCs w:val="21"/>
                <w:lang w:val="en-US" w:eastAsia="zh-CN"/>
              </w:rPr>
            </w:pPr>
            <w:r>
              <w:rPr>
                <w:rFonts w:hint="eastAsia" w:ascii="宋体" w:hAnsi="宋体" w:eastAsia="宋体"/>
                <w:szCs w:val="21"/>
                <w:lang w:val="en-US" w:eastAsia="zh-CN"/>
              </w:rPr>
              <w:t>9</w:t>
            </w:r>
          </w:p>
        </w:tc>
        <w:tc>
          <w:tcPr>
            <w:tcW w:w="1066" w:type="dxa"/>
            <w:shd w:val="clear" w:color="auto" w:fill="auto"/>
            <w:vAlign w:val="center"/>
          </w:tcPr>
          <w:p w14:paraId="1712F10B">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工业园区</w:t>
            </w:r>
          </w:p>
        </w:tc>
        <w:tc>
          <w:tcPr>
            <w:tcW w:w="2976" w:type="dxa"/>
            <w:shd w:val="clear" w:color="auto" w:fill="auto"/>
            <w:vAlign w:val="center"/>
          </w:tcPr>
          <w:p w14:paraId="121F4DF0">
            <w:pPr>
              <w:spacing w:line="240" w:lineRule="auto"/>
              <w:rPr>
                <w:rFonts w:hint="default"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反映苏州工业园区热处理设备厂有限公司异味问题。</w:t>
            </w:r>
          </w:p>
          <w:p w14:paraId="1DBB4755">
            <w:pPr>
              <w:spacing w:line="240" w:lineRule="auto"/>
              <w:rPr>
                <w:rFonts w:hint="eastAsia" w:ascii="Times New Roman" w:hAnsi="Times New Roman" w:cs="Times New Roman" w:eastAsiaTheme="majorEastAsia"/>
                <w:szCs w:val="32"/>
                <w:lang w:val="en-US" w:eastAsia="zh-CN"/>
              </w:rPr>
            </w:pPr>
          </w:p>
        </w:tc>
        <w:tc>
          <w:tcPr>
            <w:tcW w:w="6875" w:type="dxa"/>
            <w:shd w:val="clear" w:color="auto" w:fill="auto"/>
            <w:vAlign w:val="center"/>
          </w:tcPr>
          <w:p w14:paraId="031F4CB3">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p>
          <w:p w14:paraId="03D7F8F0">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投诉人反映的烤漆车间应为鸿锦瑞科公司烘烤固化工段车间，现场检查时该工序正在进行调试生产，配套水喷淋+除雾过滤+二级活性炭吸附处理设施正常运行，执法人员对生产车间及厂房周边进行巡视，未发现明显异味问题。</w:t>
            </w:r>
          </w:p>
          <w:p w14:paraId="6741B8CF">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现场检查时，该单位前处理阶段水洗工序正在运行，水洗废水按照环评要求进入废水处理设施进行处理，未发现污水乱排的情况，现场企业提供废液转移记录。巡查企业厂区雨污水井、雨污水总排口及周边河道，未发现有异常情况。</w:t>
            </w:r>
          </w:p>
          <w:p w14:paraId="19C8E295">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该单位的冷水机、电控柜以及半导体设备生产新建项目，已经完成了建设项目环境影响报告表的编制，并获得了环保部门的审批意见。目前，该项目正处于验收前的生产调试阶段。</w:t>
            </w:r>
          </w:p>
          <w:p w14:paraId="4AA92A99">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处理情况：</w:t>
            </w:r>
          </w:p>
          <w:p w14:paraId="56D3F976">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1、要求鸿锦瑞科公司于2025年6月30日之前完成竣工环保验收、突发环境事件应急预案的编制与备案工作，同时，确保在生产调试阶段严格按照规定使用配套的污染防治设施，防止环境污染的发生。</w:t>
            </w:r>
          </w:p>
          <w:p w14:paraId="1D160175">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2、要求苏州工业园区热处理厂有限公司（出租方）强化对入驻企业的日常监管，确保入驻企业依法合规经营。</w:t>
            </w:r>
          </w:p>
          <w:p w14:paraId="102C3973">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3、环保部门将持续加强对该单位的环境监管力度，对发现的环境违法行为从严查处。</w:t>
            </w:r>
          </w:p>
          <w:p w14:paraId="58FC826C">
            <w:pPr>
              <w:keepNext w:val="0"/>
              <w:keepLines w:val="0"/>
              <w:pageBreakBefore w:val="0"/>
              <w:widowControl w:val="0"/>
              <w:kinsoku/>
              <w:wordWrap/>
              <w:overflowPunct/>
              <w:topLinePunct w:val="0"/>
              <w:autoSpaceDE/>
              <w:autoSpaceDN/>
              <w:bidi w:val="0"/>
              <w:adjustRightInd w:val="0"/>
              <w:snapToGrid/>
              <w:spacing w:line="260" w:lineRule="exact"/>
              <w:ind w:firstLine="420" w:firstLineChars="200"/>
              <w:textAlignment w:val="auto"/>
              <w:rPr>
                <w:rFonts w:hint="eastAsia" w:ascii="Times New Roman" w:hAnsi="Times New Roman" w:cs="Times New Roman" w:eastAsiaTheme="majorEastAsia"/>
                <w:szCs w:val="21"/>
                <w:lang w:val="en-US" w:eastAsia="zh-CN"/>
              </w:rPr>
            </w:pPr>
          </w:p>
        </w:tc>
        <w:tc>
          <w:tcPr>
            <w:tcW w:w="1773" w:type="dxa"/>
            <w:vAlign w:val="center"/>
          </w:tcPr>
          <w:p w14:paraId="73DF4F11">
            <w:pPr>
              <w:adjustRightInd w:val="0"/>
              <w:spacing w:line="240" w:lineRule="auto"/>
              <w:rPr>
                <w:rFonts w:ascii="Times New Roman" w:hAnsi="Times New Roman" w:cs="Times New Roman" w:eastAsiaTheme="majorEastAsia"/>
                <w:szCs w:val="21"/>
              </w:rPr>
            </w:pPr>
          </w:p>
        </w:tc>
      </w:tr>
      <w:tr w14:paraId="70652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74" w:hRule="atLeast"/>
        </w:trPr>
        <w:tc>
          <w:tcPr>
            <w:tcW w:w="531" w:type="dxa"/>
            <w:shd w:val="clear" w:color="auto" w:fill="auto"/>
            <w:vAlign w:val="center"/>
          </w:tcPr>
          <w:p w14:paraId="5E6DF793">
            <w:pPr>
              <w:spacing w:line="240" w:lineRule="auto"/>
              <w:rPr>
                <w:rFonts w:hint="default" w:ascii="宋体" w:hAnsi="宋体" w:eastAsia="宋体"/>
                <w:szCs w:val="21"/>
                <w:lang w:val="en-US" w:eastAsia="zh-CN"/>
              </w:rPr>
            </w:pPr>
            <w:r>
              <w:rPr>
                <w:rFonts w:hint="eastAsia" w:ascii="宋体" w:hAnsi="宋体" w:eastAsia="宋体"/>
                <w:szCs w:val="21"/>
                <w:lang w:val="en-US" w:eastAsia="zh-CN"/>
              </w:rPr>
              <w:t>10</w:t>
            </w:r>
          </w:p>
        </w:tc>
        <w:tc>
          <w:tcPr>
            <w:tcW w:w="1066" w:type="dxa"/>
            <w:shd w:val="clear" w:color="auto" w:fill="auto"/>
            <w:vAlign w:val="center"/>
          </w:tcPr>
          <w:p w14:paraId="0EBFAD21">
            <w:pPr>
              <w:spacing w:line="240" w:lineRule="auto"/>
              <w:rPr>
                <w:rFonts w:hint="eastAsia" w:ascii="宋体" w:hAnsi="宋体" w:eastAsia="宋体"/>
                <w:szCs w:val="21"/>
                <w:lang w:eastAsia="zh-CN"/>
              </w:rPr>
            </w:pPr>
            <w:r>
              <w:rPr>
                <w:rFonts w:hint="eastAsia" w:ascii="宋体" w:hAnsi="宋体" w:eastAsia="宋体"/>
                <w:szCs w:val="21"/>
                <w:lang w:eastAsia="zh-CN"/>
              </w:rPr>
              <w:t>高新区</w:t>
            </w:r>
          </w:p>
        </w:tc>
        <w:tc>
          <w:tcPr>
            <w:tcW w:w="2976" w:type="dxa"/>
            <w:shd w:val="clear" w:color="auto" w:fill="auto"/>
            <w:vAlign w:val="center"/>
          </w:tcPr>
          <w:p w14:paraId="13EFF056">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服务对象来电举报渡澳精密（江苏省苏州市虎丘区鸿禧路63号邦州科技(苏州)有限公司内出租的厂房），其表示该企业在厂房内未设有喷漆房，并表示油漆存在有毒有害未提供任何防护措施，污染环境，故来电举报，希望部门前去调查处理（服务对象表示是空气污染，要求保密，无需回访），望部门核实处理。</w:t>
            </w:r>
          </w:p>
        </w:tc>
        <w:tc>
          <w:tcPr>
            <w:tcW w:w="6875" w:type="dxa"/>
            <w:shd w:val="clear" w:color="auto" w:fill="auto"/>
            <w:vAlign w:val="center"/>
          </w:tcPr>
          <w:p w14:paraId="3269EEEB">
            <w:pPr>
              <w:adjustRightInd w:val="0"/>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val="en-US" w:eastAsia="zh-CN"/>
              </w:rPr>
              <w:t>接到投诉后，苏州高新区生态环境综合行政执法局工作人员于2025年5月14日到现场勘察，经查，苏州渡澳精密机械有限公司注册地址在苏州相城区，租用苏州高新区鸿禧路63号邦州科技（苏州）有限公司厂房进行金属件切割、焊接、组装等，未发现有喷漆作业和喷漆房，现场要求该公司加强环境管理，确保污染物稳定达标排放。投诉人如有问题也可直接拨打18913199799直接与高新区生态环境局联系。</w:t>
            </w:r>
            <w:bookmarkStart w:id="0" w:name="_GoBack"/>
            <w:bookmarkEnd w:id="0"/>
          </w:p>
        </w:tc>
        <w:tc>
          <w:tcPr>
            <w:tcW w:w="1773" w:type="dxa"/>
            <w:vAlign w:val="center"/>
          </w:tcPr>
          <w:p w14:paraId="0A3218E6">
            <w:pPr>
              <w:adjustRightInd w:val="0"/>
              <w:spacing w:line="240" w:lineRule="auto"/>
              <w:rPr>
                <w:rFonts w:ascii="Times New Roman" w:hAnsi="Times New Roman" w:cs="Times New Roman" w:eastAsiaTheme="majorEastAsia"/>
                <w:szCs w:val="21"/>
              </w:rPr>
            </w:pPr>
          </w:p>
        </w:tc>
      </w:tr>
    </w:tbl>
    <w:p w14:paraId="61C51BD0">
      <w:pPr>
        <w:spacing w:line="240" w:lineRule="auto"/>
        <w:rPr>
          <w:rFonts w:hint="eastAsia" w:asciiTheme="minorEastAsia" w:hAnsiTheme="minorEastAsia"/>
          <w:szCs w:val="21"/>
        </w:rPr>
      </w:pPr>
    </w:p>
    <w:sectPr>
      <w:pgSz w:w="16838" w:h="11906" w:orient="landscape"/>
      <w:pgMar w:top="1560" w:right="1440" w:bottom="1418"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C4F0B"/>
    <w:rsid w:val="000027D4"/>
    <w:rsid w:val="000055B7"/>
    <w:rsid w:val="00007CF9"/>
    <w:rsid w:val="000129BD"/>
    <w:rsid w:val="000134B2"/>
    <w:rsid w:val="0001624C"/>
    <w:rsid w:val="000179F5"/>
    <w:rsid w:val="00017CFE"/>
    <w:rsid w:val="00021508"/>
    <w:rsid w:val="0002242B"/>
    <w:rsid w:val="00023A1E"/>
    <w:rsid w:val="00024D76"/>
    <w:rsid w:val="0002544D"/>
    <w:rsid w:val="00025466"/>
    <w:rsid w:val="000259E1"/>
    <w:rsid w:val="00027B14"/>
    <w:rsid w:val="000336FC"/>
    <w:rsid w:val="00035407"/>
    <w:rsid w:val="00035D45"/>
    <w:rsid w:val="00036AAD"/>
    <w:rsid w:val="000406E4"/>
    <w:rsid w:val="00041A3F"/>
    <w:rsid w:val="00042406"/>
    <w:rsid w:val="00043871"/>
    <w:rsid w:val="00046F63"/>
    <w:rsid w:val="0004709C"/>
    <w:rsid w:val="000503B2"/>
    <w:rsid w:val="00050664"/>
    <w:rsid w:val="00053572"/>
    <w:rsid w:val="000564D7"/>
    <w:rsid w:val="0006462C"/>
    <w:rsid w:val="00071321"/>
    <w:rsid w:val="000719B2"/>
    <w:rsid w:val="00073001"/>
    <w:rsid w:val="00073E9C"/>
    <w:rsid w:val="00075D63"/>
    <w:rsid w:val="0007675D"/>
    <w:rsid w:val="00076D63"/>
    <w:rsid w:val="00076EDF"/>
    <w:rsid w:val="0008052C"/>
    <w:rsid w:val="00082BCB"/>
    <w:rsid w:val="00082FBD"/>
    <w:rsid w:val="00086142"/>
    <w:rsid w:val="00090F0B"/>
    <w:rsid w:val="000915CA"/>
    <w:rsid w:val="00097CAB"/>
    <w:rsid w:val="000A27CD"/>
    <w:rsid w:val="000A3442"/>
    <w:rsid w:val="000A5F60"/>
    <w:rsid w:val="000A6B7A"/>
    <w:rsid w:val="000B0457"/>
    <w:rsid w:val="000B05E0"/>
    <w:rsid w:val="000B144D"/>
    <w:rsid w:val="000B5ABA"/>
    <w:rsid w:val="000B78AF"/>
    <w:rsid w:val="000C6155"/>
    <w:rsid w:val="000C787A"/>
    <w:rsid w:val="000D2CF9"/>
    <w:rsid w:val="000D44B6"/>
    <w:rsid w:val="000D5E69"/>
    <w:rsid w:val="000E0088"/>
    <w:rsid w:val="000E06EB"/>
    <w:rsid w:val="000E5DC1"/>
    <w:rsid w:val="000E5E0E"/>
    <w:rsid w:val="000E722C"/>
    <w:rsid w:val="000E75F8"/>
    <w:rsid w:val="000F00B9"/>
    <w:rsid w:val="000F0FDD"/>
    <w:rsid w:val="000F10E8"/>
    <w:rsid w:val="000F2618"/>
    <w:rsid w:val="000F49C7"/>
    <w:rsid w:val="000F6351"/>
    <w:rsid w:val="000F64B8"/>
    <w:rsid w:val="000F65BE"/>
    <w:rsid w:val="000F66E3"/>
    <w:rsid w:val="000F67AF"/>
    <w:rsid w:val="0010017C"/>
    <w:rsid w:val="0010302F"/>
    <w:rsid w:val="00103700"/>
    <w:rsid w:val="001054BB"/>
    <w:rsid w:val="00111B5E"/>
    <w:rsid w:val="00113423"/>
    <w:rsid w:val="001145A7"/>
    <w:rsid w:val="00114B20"/>
    <w:rsid w:val="001159FC"/>
    <w:rsid w:val="00117CD8"/>
    <w:rsid w:val="00121D46"/>
    <w:rsid w:val="00125BD9"/>
    <w:rsid w:val="001305C5"/>
    <w:rsid w:val="001325F7"/>
    <w:rsid w:val="001342AD"/>
    <w:rsid w:val="00134C86"/>
    <w:rsid w:val="00137B56"/>
    <w:rsid w:val="00140C60"/>
    <w:rsid w:val="0014112E"/>
    <w:rsid w:val="00141924"/>
    <w:rsid w:val="00141987"/>
    <w:rsid w:val="00143480"/>
    <w:rsid w:val="00144F0B"/>
    <w:rsid w:val="00147440"/>
    <w:rsid w:val="0015047C"/>
    <w:rsid w:val="001565AE"/>
    <w:rsid w:val="00157F7D"/>
    <w:rsid w:val="00160502"/>
    <w:rsid w:val="00164EC3"/>
    <w:rsid w:val="001651A7"/>
    <w:rsid w:val="00165732"/>
    <w:rsid w:val="00166194"/>
    <w:rsid w:val="00167857"/>
    <w:rsid w:val="00172AD8"/>
    <w:rsid w:val="00173675"/>
    <w:rsid w:val="00180511"/>
    <w:rsid w:val="0018262E"/>
    <w:rsid w:val="00183AC2"/>
    <w:rsid w:val="001840D0"/>
    <w:rsid w:val="00184168"/>
    <w:rsid w:val="001842D9"/>
    <w:rsid w:val="0018592D"/>
    <w:rsid w:val="00185C49"/>
    <w:rsid w:val="00186A01"/>
    <w:rsid w:val="00187835"/>
    <w:rsid w:val="00187C39"/>
    <w:rsid w:val="001916EF"/>
    <w:rsid w:val="00193381"/>
    <w:rsid w:val="001942E1"/>
    <w:rsid w:val="0019575C"/>
    <w:rsid w:val="001A0EF4"/>
    <w:rsid w:val="001A3E5B"/>
    <w:rsid w:val="001A46FD"/>
    <w:rsid w:val="001A4904"/>
    <w:rsid w:val="001A5766"/>
    <w:rsid w:val="001A5A84"/>
    <w:rsid w:val="001A6DB0"/>
    <w:rsid w:val="001A6F22"/>
    <w:rsid w:val="001A7719"/>
    <w:rsid w:val="001B0E6C"/>
    <w:rsid w:val="001B6F71"/>
    <w:rsid w:val="001C3441"/>
    <w:rsid w:val="001C4414"/>
    <w:rsid w:val="001C7341"/>
    <w:rsid w:val="001C7B95"/>
    <w:rsid w:val="001D2078"/>
    <w:rsid w:val="001D3A4F"/>
    <w:rsid w:val="001D77B6"/>
    <w:rsid w:val="001E02CB"/>
    <w:rsid w:val="001E301A"/>
    <w:rsid w:val="001E30EB"/>
    <w:rsid w:val="001F2638"/>
    <w:rsid w:val="001F4961"/>
    <w:rsid w:val="001F628C"/>
    <w:rsid w:val="001F6724"/>
    <w:rsid w:val="0020013C"/>
    <w:rsid w:val="0020349C"/>
    <w:rsid w:val="002038F3"/>
    <w:rsid w:val="00204966"/>
    <w:rsid w:val="00205850"/>
    <w:rsid w:val="0021006E"/>
    <w:rsid w:val="00210788"/>
    <w:rsid w:val="00211ADC"/>
    <w:rsid w:val="00212C22"/>
    <w:rsid w:val="00214BD8"/>
    <w:rsid w:val="00215595"/>
    <w:rsid w:val="00215E18"/>
    <w:rsid w:val="00217158"/>
    <w:rsid w:val="00220E2D"/>
    <w:rsid w:val="00225E89"/>
    <w:rsid w:val="00225E8D"/>
    <w:rsid w:val="00226047"/>
    <w:rsid w:val="00226B71"/>
    <w:rsid w:val="00227707"/>
    <w:rsid w:val="0023283E"/>
    <w:rsid w:val="00232909"/>
    <w:rsid w:val="00233415"/>
    <w:rsid w:val="00233658"/>
    <w:rsid w:val="002379B9"/>
    <w:rsid w:val="00237A6D"/>
    <w:rsid w:val="002405F5"/>
    <w:rsid w:val="00242FD3"/>
    <w:rsid w:val="00246134"/>
    <w:rsid w:val="00246EC7"/>
    <w:rsid w:val="00251F83"/>
    <w:rsid w:val="00251FA6"/>
    <w:rsid w:val="00252B74"/>
    <w:rsid w:val="002536D1"/>
    <w:rsid w:val="00257554"/>
    <w:rsid w:val="00261AB1"/>
    <w:rsid w:val="002625AC"/>
    <w:rsid w:val="00262765"/>
    <w:rsid w:val="00264F4E"/>
    <w:rsid w:val="00270855"/>
    <w:rsid w:val="00270B9E"/>
    <w:rsid w:val="00276A4C"/>
    <w:rsid w:val="0027757C"/>
    <w:rsid w:val="00277CBC"/>
    <w:rsid w:val="00284E47"/>
    <w:rsid w:val="00285DFC"/>
    <w:rsid w:val="00287FCC"/>
    <w:rsid w:val="002971D4"/>
    <w:rsid w:val="002A3199"/>
    <w:rsid w:val="002A710A"/>
    <w:rsid w:val="002A7FD7"/>
    <w:rsid w:val="002B0E14"/>
    <w:rsid w:val="002B178B"/>
    <w:rsid w:val="002B21E4"/>
    <w:rsid w:val="002B45FE"/>
    <w:rsid w:val="002B529B"/>
    <w:rsid w:val="002B66FC"/>
    <w:rsid w:val="002B740C"/>
    <w:rsid w:val="002B7B61"/>
    <w:rsid w:val="002B7B85"/>
    <w:rsid w:val="002C1345"/>
    <w:rsid w:val="002C37FC"/>
    <w:rsid w:val="002C3930"/>
    <w:rsid w:val="002C3DA1"/>
    <w:rsid w:val="002C495C"/>
    <w:rsid w:val="002C4995"/>
    <w:rsid w:val="002C4CC3"/>
    <w:rsid w:val="002C5465"/>
    <w:rsid w:val="002C5A4A"/>
    <w:rsid w:val="002C68B0"/>
    <w:rsid w:val="002D4BCC"/>
    <w:rsid w:val="002D740A"/>
    <w:rsid w:val="002E3FF5"/>
    <w:rsid w:val="002E4480"/>
    <w:rsid w:val="002E7AF3"/>
    <w:rsid w:val="002E7D1C"/>
    <w:rsid w:val="002F0A2C"/>
    <w:rsid w:val="002F369D"/>
    <w:rsid w:val="002F3CAB"/>
    <w:rsid w:val="0030112A"/>
    <w:rsid w:val="003030E2"/>
    <w:rsid w:val="0030578D"/>
    <w:rsid w:val="003079C4"/>
    <w:rsid w:val="00307FA3"/>
    <w:rsid w:val="00310996"/>
    <w:rsid w:val="00312890"/>
    <w:rsid w:val="00315195"/>
    <w:rsid w:val="00316A04"/>
    <w:rsid w:val="00321033"/>
    <w:rsid w:val="00324E03"/>
    <w:rsid w:val="00326F5C"/>
    <w:rsid w:val="003278D3"/>
    <w:rsid w:val="00327BD4"/>
    <w:rsid w:val="00333E37"/>
    <w:rsid w:val="00334FF7"/>
    <w:rsid w:val="00341CCE"/>
    <w:rsid w:val="00346713"/>
    <w:rsid w:val="00350D00"/>
    <w:rsid w:val="00352685"/>
    <w:rsid w:val="00352693"/>
    <w:rsid w:val="00353FDB"/>
    <w:rsid w:val="003547B6"/>
    <w:rsid w:val="0035502E"/>
    <w:rsid w:val="00357AAA"/>
    <w:rsid w:val="00360B02"/>
    <w:rsid w:val="00361CC0"/>
    <w:rsid w:val="003650C7"/>
    <w:rsid w:val="00367D89"/>
    <w:rsid w:val="003713B5"/>
    <w:rsid w:val="00371FC9"/>
    <w:rsid w:val="0037345C"/>
    <w:rsid w:val="003750F5"/>
    <w:rsid w:val="00375E2E"/>
    <w:rsid w:val="003806AC"/>
    <w:rsid w:val="00380A2D"/>
    <w:rsid w:val="0038292B"/>
    <w:rsid w:val="00383E81"/>
    <w:rsid w:val="003863AA"/>
    <w:rsid w:val="003904E8"/>
    <w:rsid w:val="00391BB8"/>
    <w:rsid w:val="0039460B"/>
    <w:rsid w:val="0039523B"/>
    <w:rsid w:val="00396D66"/>
    <w:rsid w:val="00397EA8"/>
    <w:rsid w:val="003A1295"/>
    <w:rsid w:val="003A13AC"/>
    <w:rsid w:val="003A24DF"/>
    <w:rsid w:val="003A26C5"/>
    <w:rsid w:val="003A6644"/>
    <w:rsid w:val="003C0FA4"/>
    <w:rsid w:val="003C2173"/>
    <w:rsid w:val="003C2DEE"/>
    <w:rsid w:val="003C3117"/>
    <w:rsid w:val="003C50E1"/>
    <w:rsid w:val="003C7BC9"/>
    <w:rsid w:val="003C7E2A"/>
    <w:rsid w:val="003D1123"/>
    <w:rsid w:val="003D4D1A"/>
    <w:rsid w:val="003D6997"/>
    <w:rsid w:val="003E0A1A"/>
    <w:rsid w:val="003E5632"/>
    <w:rsid w:val="003E6164"/>
    <w:rsid w:val="003E7E7F"/>
    <w:rsid w:val="003F33B8"/>
    <w:rsid w:val="003F3687"/>
    <w:rsid w:val="003F3D6F"/>
    <w:rsid w:val="003F473A"/>
    <w:rsid w:val="003F660F"/>
    <w:rsid w:val="003F688B"/>
    <w:rsid w:val="00400B92"/>
    <w:rsid w:val="00402A91"/>
    <w:rsid w:val="0040315D"/>
    <w:rsid w:val="004032DB"/>
    <w:rsid w:val="0040406F"/>
    <w:rsid w:val="004215C3"/>
    <w:rsid w:val="00422734"/>
    <w:rsid w:val="00424902"/>
    <w:rsid w:val="00425430"/>
    <w:rsid w:val="004265D9"/>
    <w:rsid w:val="00431849"/>
    <w:rsid w:val="00432D65"/>
    <w:rsid w:val="00433320"/>
    <w:rsid w:val="00433BE6"/>
    <w:rsid w:val="0043479A"/>
    <w:rsid w:val="00434822"/>
    <w:rsid w:val="004349F2"/>
    <w:rsid w:val="00435F52"/>
    <w:rsid w:val="00436ED8"/>
    <w:rsid w:val="004374F2"/>
    <w:rsid w:val="00440957"/>
    <w:rsid w:val="00443AFF"/>
    <w:rsid w:val="004443D4"/>
    <w:rsid w:val="00444407"/>
    <w:rsid w:val="00444AE8"/>
    <w:rsid w:val="00444EC6"/>
    <w:rsid w:val="004518F6"/>
    <w:rsid w:val="00452891"/>
    <w:rsid w:val="004530E8"/>
    <w:rsid w:val="00453713"/>
    <w:rsid w:val="004541F2"/>
    <w:rsid w:val="00455891"/>
    <w:rsid w:val="00455E94"/>
    <w:rsid w:val="00457FC0"/>
    <w:rsid w:val="00463262"/>
    <w:rsid w:val="00464AAB"/>
    <w:rsid w:val="00467991"/>
    <w:rsid w:val="00467AF0"/>
    <w:rsid w:val="00473151"/>
    <w:rsid w:val="004743B4"/>
    <w:rsid w:val="0047636D"/>
    <w:rsid w:val="00476600"/>
    <w:rsid w:val="0048208F"/>
    <w:rsid w:val="004865C2"/>
    <w:rsid w:val="00487266"/>
    <w:rsid w:val="004930DC"/>
    <w:rsid w:val="00493624"/>
    <w:rsid w:val="00493EC4"/>
    <w:rsid w:val="00494ADA"/>
    <w:rsid w:val="00494C9C"/>
    <w:rsid w:val="00494ED4"/>
    <w:rsid w:val="00495A8B"/>
    <w:rsid w:val="00495ABE"/>
    <w:rsid w:val="00496093"/>
    <w:rsid w:val="004A0266"/>
    <w:rsid w:val="004A19AB"/>
    <w:rsid w:val="004A4620"/>
    <w:rsid w:val="004A67FB"/>
    <w:rsid w:val="004B75E0"/>
    <w:rsid w:val="004C066D"/>
    <w:rsid w:val="004C2A6B"/>
    <w:rsid w:val="004C3D02"/>
    <w:rsid w:val="004C7E54"/>
    <w:rsid w:val="004D1372"/>
    <w:rsid w:val="004D2475"/>
    <w:rsid w:val="004D791D"/>
    <w:rsid w:val="004E6474"/>
    <w:rsid w:val="004E7ADA"/>
    <w:rsid w:val="004F0B43"/>
    <w:rsid w:val="004F6E85"/>
    <w:rsid w:val="00505A13"/>
    <w:rsid w:val="0050645A"/>
    <w:rsid w:val="00507AAD"/>
    <w:rsid w:val="00511526"/>
    <w:rsid w:val="00516564"/>
    <w:rsid w:val="00520837"/>
    <w:rsid w:val="005213D1"/>
    <w:rsid w:val="0052175E"/>
    <w:rsid w:val="0052251B"/>
    <w:rsid w:val="00525369"/>
    <w:rsid w:val="00525599"/>
    <w:rsid w:val="005330F8"/>
    <w:rsid w:val="005340CA"/>
    <w:rsid w:val="00537080"/>
    <w:rsid w:val="00537357"/>
    <w:rsid w:val="0053799F"/>
    <w:rsid w:val="00544BDB"/>
    <w:rsid w:val="00545B90"/>
    <w:rsid w:val="005470D4"/>
    <w:rsid w:val="00551B27"/>
    <w:rsid w:val="00551EA6"/>
    <w:rsid w:val="00552833"/>
    <w:rsid w:val="00552923"/>
    <w:rsid w:val="00552B43"/>
    <w:rsid w:val="0055556D"/>
    <w:rsid w:val="00557C2D"/>
    <w:rsid w:val="00557FAF"/>
    <w:rsid w:val="0056111C"/>
    <w:rsid w:val="00564F6C"/>
    <w:rsid w:val="00565610"/>
    <w:rsid w:val="00573028"/>
    <w:rsid w:val="0057315F"/>
    <w:rsid w:val="005805CA"/>
    <w:rsid w:val="00581522"/>
    <w:rsid w:val="00582031"/>
    <w:rsid w:val="00582F79"/>
    <w:rsid w:val="00582FB2"/>
    <w:rsid w:val="0058552A"/>
    <w:rsid w:val="00586978"/>
    <w:rsid w:val="00590B12"/>
    <w:rsid w:val="005926C0"/>
    <w:rsid w:val="005967EF"/>
    <w:rsid w:val="005A32EB"/>
    <w:rsid w:val="005A4A9E"/>
    <w:rsid w:val="005A7147"/>
    <w:rsid w:val="005B0532"/>
    <w:rsid w:val="005B1A91"/>
    <w:rsid w:val="005B3BD1"/>
    <w:rsid w:val="005B462B"/>
    <w:rsid w:val="005B5116"/>
    <w:rsid w:val="005B6AC1"/>
    <w:rsid w:val="005B6E01"/>
    <w:rsid w:val="005B727D"/>
    <w:rsid w:val="005B76F6"/>
    <w:rsid w:val="005B7E69"/>
    <w:rsid w:val="005C3773"/>
    <w:rsid w:val="005C4CD8"/>
    <w:rsid w:val="005C4F0B"/>
    <w:rsid w:val="005C51B8"/>
    <w:rsid w:val="005C79B1"/>
    <w:rsid w:val="005C7E63"/>
    <w:rsid w:val="005D00A4"/>
    <w:rsid w:val="005D3D79"/>
    <w:rsid w:val="005D4463"/>
    <w:rsid w:val="005D452A"/>
    <w:rsid w:val="005D5789"/>
    <w:rsid w:val="005D5895"/>
    <w:rsid w:val="005D673A"/>
    <w:rsid w:val="005E2F8B"/>
    <w:rsid w:val="005E50B3"/>
    <w:rsid w:val="005E5F54"/>
    <w:rsid w:val="005E6855"/>
    <w:rsid w:val="005E724B"/>
    <w:rsid w:val="005F3C59"/>
    <w:rsid w:val="005F403E"/>
    <w:rsid w:val="005F4EAF"/>
    <w:rsid w:val="005F73B9"/>
    <w:rsid w:val="005F76C9"/>
    <w:rsid w:val="0060130A"/>
    <w:rsid w:val="00601423"/>
    <w:rsid w:val="00602756"/>
    <w:rsid w:val="0060490C"/>
    <w:rsid w:val="0060539B"/>
    <w:rsid w:val="00606619"/>
    <w:rsid w:val="00607D3F"/>
    <w:rsid w:val="00610E45"/>
    <w:rsid w:val="00611369"/>
    <w:rsid w:val="006115E0"/>
    <w:rsid w:val="00612CC3"/>
    <w:rsid w:val="00617F3B"/>
    <w:rsid w:val="00621AB4"/>
    <w:rsid w:val="00623F8C"/>
    <w:rsid w:val="00624E49"/>
    <w:rsid w:val="00626891"/>
    <w:rsid w:val="00626B17"/>
    <w:rsid w:val="006300FF"/>
    <w:rsid w:val="00632C9B"/>
    <w:rsid w:val="00633418"/>
    <w:rsid w:val="00637186"/>
    <w:rsid w:val="00641414"/>
    <w:rsid w:val="0064154C"/>
    <w:rsid w:val="006415C3"/>
    <w:rsid w:val="006416EC"/>
    <w:rsid w:val="00641BE9"/>
    <w:rsid w:val="00647567"/>
    <w:rsid w:val="006479D8"/>
    <w:rsid w:val="006539A8"/>
    <w:rsid w:val="006541A0"/>
    <w:rsid w:val="00655A75"/>
    <w:rsid w:val="00655D81"/>
    <w:rsid w:val="00656798"/>
    <w:rsid w:val="006638EF"/>
    <w:rsid w:val="00664B96"/>
    <w:rsid w:val="00667575"/>
    <w:rsid w:val="00667D9D"/>
    <w:rsid w:val="00673DEC"/>
    <w:rsid w:val="00674B0D"/>
    <w:rsid w:val="00674D24"/>
    <w:rsid w:val="00677C5A"/>
    <w:rsid w:val="00680EB9"/>
    <w:rsid w:val="00684F5B"/>
    <w:rsid w:val="00685D6C"/>
    <w:rsid w:val="0068618B"/>
    <w:rsid w:val="00686BB6"/>
    <w:rsid w:val="00687F2C"/>
    <w:rsid w:val="0069136C"/>
    <w:rsid w:val="00691C9B"/>
    <w:rsid w:val="006921D7"/>
    <w:rsid w:val="00693CF7"/>
    <w:rsid w:val="0069402C"/>
    <w:rsid w:val="006A1651"/>
    <w:rsid w:val="006A166D"/>
    <w:rsid w:val="006A5660"/>
    <w:rsid w:val="006A7E17"/>
    <w:rsid w:val="006B0431"/>
    <w:rsid w:val="006B0C79"/>
    <w:rsid w:val="006B101A"/>
    <w:rsid w:val="006B12BB"/>
    <w:rsid w:val="006B2184"/>
    <w:rsid w:val="006B308B"/>
    <w:rsid w:val="006B34F0"/>
    <w:rsid w:val="006B5917"/>
    <w:rsid w:val="006B608A"/>
    <w:rsid w:val="006C006F"/>
    <w:rsid w:val="006C0D2D"/>
    <w:rsid w:val="006C558E"/>
    <w:rsid w:val="006C629A"/>
    <w:rsid w:val="006D2F08"/>
    <w:rsid w:val="006D554D"/>
    <w:rsid w:val="006D5598"/>
    <w:rsid w:val="006D78E8"/>
    <w:rsid w:val="006D7919"/>
    <w:rsid w:val="006E1022"/>
    <w:rsid w:val="006E2CB3"/>
    <w:rsid w:val="006E3536"/>
    <w:rsid w:val="006E4006"/>
    <w:rsid w:val="006E7F3C"/>
    <w:rsid w:val="006F0A6F"/>
    <w:rsid w:val="006F24A7"/>
    <w:rsid w:val="006F2ECA"/>
    <w:rsid w:val="006F3E46"/>
    <w:rsid w:val="006F3FA2"/>
    <w:rsid w:val="006F551A"/>
    <w:rsid w:val="006F640B"/>
    <w:rsid w:val="006F66BB"/>
    <w:rsid w:val="00701F44"/>
    <w:rsid w:val="0070398D"/>
    <w:rsid w:val="0070407A"/>
    <w:rsid w:val="00705E22"/>
    <w:rsid w:val="007061B9"/>
    <w:rsid w:val="0070741A"/>
    <w:rsid w:val="00707600"/>
    <w:rsid w:val="00711881"/>
    <w:rsid w:val="00715E5D"/>
    <w:rsid w:val="007215FB"/>
    <w:rsid w:val="00722DDC"/>
    <w:rsid w:val="00726817"/>
    <w:rsid w:val="00730470"/>
    <w:rsid w:val="007329C0"/>
    <w:rsid w:val="00733FA1"/>
    <w:rsid w:val="007354BF"/>
    <w:rsid w:val="007362F2"/>
    <w:rsid w:val="00745555"/>
    <w:rsid w:val="00745DCF"/>
    <w:rsid w:val="0074631C"/>
    <w:rsid w:val="00750A4B"/>
    <w:rsid w:val="0075437B"/>
    <w:rsid w:val="007544DD"/>
    <w:rsid w:val="00754F21"/>
    <w:rsid w:val="0075602F"/>
    <w:rsid w:val="00756A70"/>
    <w:rsid w:val="007634E7"/>
    <w:rsid w:val="007652FC"/>
    <w:rsid w:val="00765C1B"/>
    <w:rsid w:val="00766F5C"/>
    <w:rsid w:val="00767D7B"/>
    <w:rsid w:val="0077029F"/>
    <w:rsid w:val="00771865"/>
    <w:rsid w:val="00771CAE"/>
    <w:rsid w:val="0077251F"/>
    <w:rsid w:val="007776C8"/>
    <w:rsid w:val="00780EE2"/>
    <w:rsid w:val="00780FD6"/>
    <w:rsid w:val="00781321"/>
    <w:rsid w:val="0078289F"/>
    <w:rsid w:val="00783280"/>
    <w:rsid w:val="00783D7C"/>
    <w:rsid w:val="00783E76"/>
    <w:rsid w:val="007873EC"/>
    <w:rsid w:val="00791706"/>
    <w:rsid w:val="00794ABE"/>
    <w:rsid w:val="007953A7"/>
    <w:rsid w:val="00796EB1"/>
    <w:rsid w:val="007A03A1"/>
    <w:rsid w:val="007A2BF8"/>
    <w:rsid w:val="007A3976"/>
    <w:rsid w:val="007A488C"/>
    <w:rsid w:val="007A53B8"/>
    <w:rsid w:val="007A7E27"/>
    <w:rsid w:val="007B03FC"/>
    <w:rsid w:val="007B09D6"/>
    <w:rsid w:val="007B4E3E"/>
    <w:rsid w:val="007B54A1"/>
    <w:rsid w:val="007B5B77"/>
    <w:rsid w:val="007C1918"/>
    <w:rsid w:val="007C40A0"/>
    <w:rsid w:val="007C4B55"/>
    <w:rsid w:val="007C5A21"/>
    <w:rsid w:val="007C62EE"/>
    <w:rsid w:val="007D3773"/>
    <w:rsid w:val="007D3FA5"/>
    <w:rsid w:val="007D41EE"/>
    <w:rsid w:val="007D4D0E"/>
    <w:rsid w:val="007D64C9"/>
    <w:rsid w:val="007D7BE1"/>
    <w:rsid w:val="007E1867"/>
    <w:rsid w:val="007E1FC7"/>
    <w:rsid w:val="007E304E"/>
    <w:rsid w:val="007E5FA3"/>
    <w:rsid w:val="007E6A6C"/>
    <w:rsid w:val="007F3125"/>
    <w:rsid w:val="007F3B8F"/>
    <w:rsid w:val="007F496F"/>
    <w:rsid w:val="007F4B21"/>
    <w:rsid w:val="007F5677"/>
    <w:rsid w:val="007F5937"/>
    <w:rsid w:val="007F765C"/>
    <w:rsid w:val="00801BCD"/>
    <w:rsid w:val="0080430F"/>
    <w:rsid w:val="0080672F"/>
    <w:rsid w:val="0081097E"/>
    <w:rsid w:val="00811DB3"/>
    <w:rsid w:val="008124F3"/>
    <w:rsid w:val="00813BC0"/>
    <w:rsid w:val="008203DE"/>
    <w:rsid w:val="00820FFF"/>
    <w:rsid w:val="00821C05"/>
    <w:rsid w:val="00822597"/>
    <w:rsid w:val="0082350C"/>
    <w:rsid w:val="00823A5D"/>
    <w:rsid w:val="008262F5"/>
    <w:rsid w:val="00826EDB"/>
    <w:rsid w:val="00830DC7"/>
    <w:rsid w:val="00831D38"/>
    <w:rsid w:val="00832A58"/>
    <w:rsid w:val="008336C5"/>
    <w:rsid w:val="00834636"/>
    <w:rsid w:val="00835FA6"/>
    <w:rsid w:val="00837E6C"/>
    <w:rsid w:val="00840E15"/>
    <w:rsid w:val="00843703"/>
    <w:rsid w:val="00845507"/>
    <w:rsid w:val="00846334"/>
    <w:rsid w:val="00851673"/>
    <w:rsid w:val="008531B5"/>
    <w:rsid w:val="00853794"/>
    <w:rsid w:val="00857193"/>
    <w:rsid w:val="008579CA"/>
    <w:rsid w:val="00857FEA"/>
    <w:rsid w:val="00860F32"/>
    <w:rsid w:val="0086602A"/>
    <w:rsid w:val="00870995"/>
    <w:rsid w:val="00872E92"/>
    <w:rsid w:val="0087352D"/>
    <w:rsid w:val="00873B24"/>
    <w:rsid w:val="008746AD"/>
    <w:rsid w:val="00875E9F"/>
    <w:rsid w:val="00883B2D"/>
    <w:rsid w:val="0088449D"/>
    <w:rsid w:val="00885ACF"/>
    <w:rsid w:val="00891666"/>
    <w:rsid w:val="00891C9D"/>
    <w:rsid w:val="00893488"/>
    <w:rsid w:val="00895A2F"/>
    <w:rsid w:val="008A0AB7"/>
    <w:rsid w:val="008A0EEB"/>
    <w:rsid w:val="008A214C"/>
    <w:rsid w:val="008A4BEF"/>
    <w:rsid w:val="008A55F3"/>
    <w:rsid w:val="008B1F01"/>
    <w:rsid w:val="008B2426"/>
    <w:rsid w:val="008B46D3"/>
    <w:rsid w:val="008B4C25"/>
    <w:rsid w:val="008B56AE"/>
    <w:rsid w:val="008B6D7D"/>
    <w:rsid w:val="008B7299"/>
    <w:rsid w:val="008C2124"/>
    <w:rsid w:val="008C2CDE"/>
    <w:rsid w:val="008C35A5"/>
    <w:rsid w:val="008C4EA7"/>
    <w:rsid w:val="008D0302"/>
    <w:rsid w:val="008D1084"/>
    <w:rsid w:val="008D125C"/>
    <w:rsid w:val="008D16AA"/>
    <w:rsid w:val="008D16B9"/>
    <w:rsid w:val="008D35EA"/>
    <w:rsid w:val="008D3F4A"/>
    <w:rsid w:val="008D46E7"/>
    <w:rsid w:val="008D619E"/>
    <w:rsid w:val="008E0479"/>
    <w:rsid w:val="008E10C3"/>
    <w:rsid w:val="008E2644"/>
    <w:rsid w:val="008E3702"/>
    <w:rsid w:val="008F0F89"/>
    <w:rsid w:val="008F3ADF"/>
    <w:rsid w:val="008F5B0F"/>
    <w:rsid w:val="009012E1"/>
    <w:rsid w:val="00901574"/>
    <w:rsid w:val="00901B1A"/>
    <w:rsid w:val="00901BC3"/>
    <w:rsid w:val="0090300E"/>
    <w:rsid w:val="00903160"/>
    <w:rsid w:val="00905614"/>
    <w:rsid w:val="0091008B"/>
    <w:rsid w:val="0091665D"/>
    <w:rsid w:val="009217DA"/>
    <w:rsid w:val="00922008"/>
    <w:rsid w:val="00923C85"/>
    <w:rsid w:val="009246CA"/>
    <w:rsid w:val="009250A3"/>
    <w:rsid w:val="00927AD8"/>
    <w:rsid w:val="00931B62"/>
    <w:rsid w:val="00931DD8"/>
    <w:rsid w:val="00934C95"/>
    <w:rsid w:val="00936FA6"/>
    <w:rsid w:val="00937213"/>
    <w:rsid w:val="0093748A"/>
    <w:rsid w:val="0094052D"/>
    <w:rsid w:val="00941124"/>
    <w:rsid w:val="009413E2"/>
    <w:rsid w:val="009416B0"/>
    <w:rsid w:val="00943BFE"/>
    <w:rsid w:val="009441E0"/>
    <w:rsid w:val="00944BB1"/>
    <w:rsid w:val="00950EA3"/>
    <w:rsid w:val="009510B4"/>
    <w:rsid w:val="0095452D"/>
    <w:rsid w:val="00955718"/>
    <w:rsid w:val="009557DC"/>
    <w:rsid w:val="00955C73"/>
    <w:rsid w:val="0096311D"/>
    <w:rsid w:val="0096395C"/>
    <w:rsid w:val="009648E1"/>
    <w:rsid w:val="009655B4"/>
    <w:rsid w:val="00967745"/>
    <w:rsid w:val="009703DB"/>
    <w:rsid w:val="00971C1F"/>
    <w:rsid w:val="00972C9D"/>
    <w:rsid w:val="0097393F"/>
    <w:rsid w:val="00980192"/>
    <w:rsid w:val="00981308"/>
    <w:rsid w:val="00984C37"/>
    <w:rsid w:val="00987FF2"/>
    <w:rsid w:val="00993959"/>
    <w:rsid w:val="0099663D"/>
    <w:rsid w:val="0099792E"/>
    <w:rsid w:val="009A28B4"/>
    <w:rsid w:val="009A2FDC"/>
    <w:rsid w:val="009A37AE"/>
    <w:rsid w:val="009A3A24"/>
    <w:rsid w:val="009A6DEE"/>
    <w:rsid w:val="009A7019"/>
    <w:rsid w:val="009B2F9B"/>
    <w:rsid w:val="009B3D0E"/>
    <w:rsid w:val="009B57DF"/>
    <w:rsid w:val="009C0D7D"/>
    <w:rsid w:val="009C4811"/>
    <w:rsid w:val="009D1081"/>
    <w:rsid w:val="009D3291"/>
    <w:rsid w:val="009D747E"/>
    <w:rsid w:val="009E077F"/>
    <w:rsid w:val="009E14B9"/>
    <w:rsid w:val="009E1C1F"/>
    <w:rsid w:val="009E3255"/>
    <w:rsid w:val="009E6053"/>
    <w:rsid w:val="009E7A36"/>
    <w:rsid w:val="009F1221"/>
    <w:rsid w:val="009F1C34"/>
    <w:rsid w:val="009F250A"/>
    <w:rsid w:val="009F339C"/>
    <w:rsid w:val="009F3659"/>
    <w:rsid w:val="009F51C8"/>
    <w:rsid w:val="009F5AAA"/>
    <w:rsid w:val="00A00FC9"/>
    <w:rsid w:val="00A028E6"/>
    <w:rsid w:val="00A03C82"/>
    <w:rsid w:val="00A052E7"/>
    <w:rsid w:val="00A10A16"/>
    <w:rsid w:val="00A114CC"/>
    <w:rsid w:val="00A13D02"/>
    <w:rsid w:val="00A144FB"/>
    <w:rsid w:val="00A16717"/>
    <w:rsid w:val="00A16DCD"/>
    <w:rsid w:val="00A173D0"/>
    <w:rsid w:val="00A22F09"/>
    <w:rsid w:val="00A23891"/>
    <w:rsid w:val="00A24BE3"/>
    <w:rsid w:val="00A24E93"/>
    <w:rsid w:val="00A2602E"/>
    <w:rsid w:val="00A33AC1"/>
    <w:rsid w:val="00A33D54"/>
    <w:rsid w:val="00A41263"/>
    <w:rsid w:val="00A42DDE"/>
    <w:rsid w:val="00A45A9C"/>
    <w:rsid w:val="00A45BB3"/>
    <w:rsid w:val="00A50D65"/>
    <w:rsid w:val="00A52901"/>
    <w:rsid w:val="00A53401"/>
    <w:rsid w:val="00A53883"/>
    <w:rsid w:val="00A56764"/>
    <w:rsid w:val="00A575D1"/>
    <w:rsid w:val="00A57F36"/>
    <w:rsid w:val="00A60F61"/>
    <w:rsid w:val="00A631F9"/>
    <w:rsid w:val="00A66C18"/>
    <w:rsid w:val="00A74249"/>
    <w:rsid w:val="00A7582B"/>
    <w:rsid w:val="00A75AC8"/>
    <w:rsid w:val="00A75E97"/>
    <w:rsid w:val="00A76C34"/>
    <w:rsid w:val="00A8569F"/>
    <w:rsid w:val="00A908CC"/>
    <w:rsid w:val="00A9587D"/>
    <w:rsid w:val="00A97CB7"/>
    <w:rsid w:val="00AA1568"/>
    <w:rsid w:val="00AA174C"/>
    <w:rsid w:val="00AA3BE1"/>
    <w:rsid w:val="00AB2AC6"/>
    <w:rsid w:val="00AB3ACB"/>
    <w:rsid w:val="00AB54BD"/>
    <w:rsid w:val="00AB7FDE"/>
    <w:rsid w:val="00AC26AD"/>
    <w:rsid w:val="00AC40D1"/>
    <w:rsid w:val="00AC4BF6"/>
    <w:rsid w:val="00AD109E"/>
    <w:rsid w:val="00AD11A0"/>
    <w:rsid w:val="00AD1750"/>
    <w:rsid w:val="00AD20C5"/>
    <w:rsid w:val="00AD2D2D"/>
    <w:rsid w:val="00AD439B"/>
    <w:rsid w:val="00AE1775"/>
    <w:rsid w:val="00AE212E"/>
    <w:rsid w:val="00AE2E93"/>
    <w:rsid w:val="00AE5447"/>
    <w:rsid w:val="00AE54C1"/>
    <w:rsid w:val="00AE668E"/>
    <w:rsid w:val="00AE7CA1"/>
    <w:rsid w:val="00AF132F"/>
    <w:rsid w:val="00AF1F30"/>
    <w:rsid w:val="00AF6560"/>
    <w:rsid w:val="00B012AC"/>
    <w:rsid w:val="00B03C1B"/>
    <w:rsid w:val="00B05AAC"/>
    <w:rsid w:val="00B13078"/>
    <w:rsid w:val="00B13EF2"/>
    <w:rsid w:val="00B174F5"/>
    <w:rsid w:val="00B20E8C"/>
    <w:rsid w:val="00B21DA3"/>
    <w:rsid w:val="00B23301"/>
    <w:rsid w:val="00B24E9F"/>
    <w:rsid w:val="00B25FAE"/>
    <w:rsid w:val="00B2610C"/>
    <w:rsid w:val="00B2619B"/>
    <w:rsid w:val="00B26817"/>
    <w:rsid w:val="00B30174"/>
    <w:rsid w:val="00B303F6"/>
    <w:rsid w:val="00B30A83"/>
    <w:rsid w:val="00B3182D"/>
    <w:rsid w:val="00B35FAD"/>
    <w:rsid w:val="00B36A04"/>
    <w:rsid w:val="00B37951"/>
    <w:rsid w:val="00B43E04"/>
    <w:rsid w:val="00B44E6E"/>
    <w:rsid w:val="00B45229"/>
    <w:rsid w:val="00B504AA"/>
    <w:rsid w:val="00B505FC"/>
    <w:rsid w:val="00B50F11"/>
    <w:rsid w:val="00B5114D"/>
    <w:rsid w:val="00B537D8"/>
    <w:rsid w:val="00B53B81"/>
    <w:rsid w:val="00B54EAB"/>
    <w:rsid w:val="00B60A50"/>
    <w:rsid w:val="00B61487"/>
    <w:rsid w:val="00B6329D"/>
    <w:rsid w:val="00B642F1"/>
    <w:rsid w:val="00B67038"/>
    <w:rsid w:val="00B67D01"/>
    <w:rsid w:val="00B71AF3"/>
    <w:rsid w:val="00B720E9"/>
    <w:rsid w:val="00B72AED"/>
    <w:rsid w:val="00B73B5D"/>
    <w:rsid w:val="00B7652D"/>
    <w:rsid w:val="00B804DB"/>
    <w:rsid w:val="00B8180F"/>
    <w:rsid w:val="00B82CEB"/>
    <w:rsid w:val="00B83B9B"/>
    <w:rsid w:val="00B863EC"/>
    <w:rsid w:val="00B90DE1"/>
    <w:rsid w:val="00B9117E"/>
    <w:rsid w:val="00B91A0A"/>
    <w:rsid w:val="00B92E4B"/>
    <w:rsid w:val="00B9351E"/>
    <w:rsid w:val="00B94843"/>
    <w:rsid w:val="00B95E85"/>
    <w:rsid w:val="00BA000C"/>
    <w:rsid w:val="00BA0080"/>
    <w:rsid w:val="00BA0204"/>
    <w:rsid w:val="00BA08D4"/>
    <w:rsid w:val="00BA186B"/>
    <w:rsid w:val="00BA2206"/>
    <w:rsid w:val="00BA2EC4"/>
    <w:rsid w:val="00BA3046"/>
    <w:rsid w:val="00BA320E"/>
    <w:rsid w:val="00BA32FC"/>
    <w:rsid w:val="00BA3589"/>
    <w:rsid w:val="00BA6B21"/>
    <w:rsid w:val="00BB7067"/>
    <w:rsid w:val="00BC0A44"/>
    <w:rsid w:val="00BC2186"/>
    <w:rsid w:val="00BC23E3"/>
    <w:rsid w:val="00BC42FB"/>
    <w:rsid w:val="00BC6733"/>
    <w:rsid w:val="00BD02D5"/>
    <w:rsid w:val="00BD0BE6"/>
    <w:rsid w:val="00BD2838"/>
    <w:rsid w:val="00BD3F71"/>
    <w:rsid w:val="00BD4217"/>
    <w:rsid w:val="00BD4779"/>
    <w:rsid w:val="00BD5D0A"/>
    <w:rsid w:val="00BD63AB"/>
    <w:rsid w:val="00BD707E"/>
    <w:rsid w:val="00BE528D"/>
    <w:rsid w:val="00BE7AC2"/>
    <w:rsid w:val="00BF1D11"/>
    <w:rsid w:val="00BF419A"/>
    <w:rsid w:val="00BF4F4F"/>
    <w:rsid w:val="00BF59E6"/>
    <w:rsid w:val="00C00129"/>
    <w:rsid w:val="00C001A9"/>
    <w:rsid w:val="00C01644"/>
    <w:rsid w:val="00C028F7"/>
    <w:rsid w:val="00C05564"/>
    <w:rsid w:val="00C06962"/>
    <w:rsid w:val="00C06E54"/>
    <w:rsid w:val="00C100B0"/>
    <w:rsid w:val="00C1066D"/>
    <w:rsid w:val="00C13CF5"/>
    <w:rsid w:val="00C13F5A"/>
    <w:rsid w:val="00C16857"/>
    <w:rsid w:val="00C21FB9"/>
    <w:rsid w:val="00C25D8C"/>
    <w:rsid w:val="00C26311"/>
    <w:rsid w:val="00C27004"/>
    <w:rsid w:val="00C3113B"/>
    <w:rsid w:val="00C322F3"/>
    <w:rsid w:val="00C410E9"/>
    <w:rsid w:val="00C41789"/>
    <w:rsid w:val="00C434C6"/>
    <w:rsid w:val="00C466B7"/>
    <w:rsid w:val="00C50E00"/>
    <w:rsid w:val="00C52B10"/>
    <w:rsid w:val="00C53B9C"/>
    <w:rsid w:val="00C62B86"/>
    <w:rsid w:val="00C6344A"/>
    <w:rsid w:val="00C64AF7"/>
    <w:rsid w:val="00C66330"/>
    <w:rsid w:val="00C703D1"/>
    <w:rsid w:val="00C73B56"/>
    <w:rsid w:val="00C75D2B"/>
    <w:rsid w:val="00C772DE"/>
    <w:rsid w:val="00C83324"/>
    <w:rsid w:val="00C85D8F"/>
    <w:rsid w:val="00C868BC"/>
    <w:rsid w:val="00C92748"/>
    <w:rsid w:val="00C936F5"/>
    <w:rsid w:val="00C9615F"/>
    <w:rsid w:val="00C966FC"/>
    <w:rsid w:val="00C96771"/>
    <w:rsid w:val="00CA4E85"/>
    <w:rsid w:val="00CA70DD"/>
    <w:rsid w:val="00CA7158"/>
    <w:rsid w:val="00CB0755"/>
    <w:rsid w:val="00CB0ECC"/>
    <w:rsid w:val="00CB4A48"/>
    <w:rsid w:val="00CB5837"/>
    <w:rsid w:val="00CB6694"/>
    <w:rsid w:val="00CB6B0C"/>
    <w:rsid w:val="00CC4AC5"/>
    <w:rsid w:val="00CC6E6B"/>
    <w:rsid w:val="00CD3331"/>
    <w:rsid w:val="00CD3FEA"/>
    <w:rsid w:val="00CD4EEE"/>
    <w:rsid w:val="00CE0BA7"/>
    <w:rsid w:val="00CE21A8"/>
    <w:rsid w:val="00CE223E"/>
    <w:rsid w:val="00CE7977"/>
    <w:rsid w:val="00CF0457"/>
    <w:rsid w:val="00CF0908"/>
    <w:rsid w:val="00CF0BC8"/>
    <w:rsid w:val="00CF5BD2"/>
    <w:rsid w:val="00D00EE5"/>
    <w:rsid w:val="00D01C1D"/>
    <w:rsid w:val="00D034F7"/>
    <w:rsid w:val="00D03E98"/>
    <w:rsid w:val="00D11700"/>
    <w:rsid w:val="00D12C06"/>
    <w:rsid w:val="00D14DD0"/>
    <w:rsid w:val="00D15F3F"/>
    <w:rsid w:val="00D20D91"/>
    <w:rsid w:val="00D24F04"/>
    <w:rsid w:val="00D27A38"/>
    <w:rsid w:val="00D27CCC"/>
    <w:rsid w:val="00D30A50"/>
    <w:rsid w:val="00D319FC"/>
    <w:rsid w:val="00D332AC"/>
    <w:rsid w:val="00D33703"/>
    <w:rsid w:val="00D36E15"/>
    <w:rsid w:val="00D412FA"/>
    <w:rsid w:val="00D472DD"/>
    <w:rsid w:val="00D5242C"/>
    <w:rsid w:val="00D547F4"/>
    <w:rsid w:val="00D56F02"/>
    <w:rsid w:val="00D6561A"/>
    <w:rsid w:val="00D70FEA"/>
    <w:rsid w:val="00D712B3"/>
    <w:rsid w:val="00D721A5"/>
    <w:rsid w:val="00D7387E"/>
    <w:rsid w:val="00D7597E"/>
    <w:rsid w:val="00D81303"/>
    <w:rsid w:val="00D827FB"/>
    <w:rsid w:val="00D9150F"/>
    <w:rsid w:val="00D93D2F"/>
    <w:rsid w:val="00D94569"/>
    <w:rsid w:val="00D9560B"/>
    <w:rsid w:val="00DA3BAA"/>
    <w:rsid w:val="00DB079F"/>
    <w:rsid w:val="00DB19C2"/>
    <w:rsid w:val="00DB501E"/>
    <w:rsid w:val="00DB7066"/>
    <w:rsid w:val="00DB7B49"/>
    <w:rsid w:val="00DC04C9"/>
    <w:rsid w:val="00DC5DA2"/>
    <w:rsid w:val="00DD34C5"/>
    <w:rsid w:val="00DD351E"/>
    <w:rsid w:val="00DD3974"/>
    <w:rsid w:val="00DD3FD2"/>
    <w:rsid w:val="00DD460C"/>
    <w:rsid w:val="00DD604B"/>
    <w:rsid w:val="00DE011B"/>
    <w:rsid w:val="00DE1867"/>
    <w:rsid w:val="00DE18B1"/>
    <w:rsid w:val="00DE19A7"/>
    <w:rsid w:val="00DE2857"/>
    <w:rsid w:val="00DE3909"/>
    <w:rsid w:val="00DE4D67"/>
    <w:rsid w:val="00DF0A0E"/>
    <w:rsid w:val="00DF2A18"/>
    <w:rsid w:val="00DF30AD"/>
    <w:rsid w:val="00DF46B8"/>
    <w:rsid w:val="00DF5C0E"/>
    <w:rsid w:val="00DF6006"/>
    <w:rsid w:val="00E00908"/>
    <w:rsid w:val="00E00CF0"/>
    <w:rsid w:val="00E00DDB"/>
    <w:rsid w:val="00E05783"/>
    <w:rsid w:val="00E05A53"/>
    <w:rsid w:val="00E068A7"/>
    <w:rsid w:val="00E06903"/>
    <w:rsid w:val="00E1040F"/>
    <w:rsid w:val="00E11D12"/>
    <w:rsid w:val="00E12391"/>
    <w:rsid w:val="00E149B0"/>
    <w:rsid w:val="00E1621F"/>
    <w:rsid w:val="00E20C2E"/>
    <w:rsid w:val="00E216A0"/>
    <w:rsid w:val="00E21C7D"/>
    <w:rsid w:val="00E24289"/>
    <w:rsid w:val="00E25DCF"/>
    <w:rsid w:val="00E25F61"/>
    <w:rsid w:val="00E26731"/>
    <w:rsid w:val="00E302B9"/>
    <w:rsid w:val="00E3073F"/>
    <w:rsid w:val="00E32B33"/>
    <w:rsid w:val="00E35175"/>
    <w:rsid w:val="00E4328A"/>
    <w:rsid w:val="00E439A8"/>
    <w:rsid w:val="00E43AA9"/>
    <w:rsid w:val="00E43B81"/>
    <w:rsid w:val="00E4458C"/>
    <w:rsid w:val="00E44CF7"/>
    <w:rsid w:val="00E44D92"/>
    <w:rsid w:val="00E4656E"/>
    <w:rsid w:val="00E54193"/>
    <w:rsid w:val="00E54B9C"/>
    <w:rsid w:val="00E56C31"/>
    <w:rsid w:val="00E60732"/>
    <w:rsid w:val="00E62D78"/>
    <w:rsid w:val="00E758E7"/>
    <w:rsid w:val="00E77491"/>
    <w:rsid w:val="00E80DF9"/>
    <w:rsid w:val="00E8471B"/>
    <w:rsid w:val="00E926B7"/>
    <w:rsid w:val="00E948A3"/>
    <w:rsid w:val="00E97DB3"/>
    <w:rsid w:val="00EA0B91"/>
    <w:rsid w:val="00EA3080"/>
    <w:rsid w:val="00EA46D8"/>
    <w:rsid w:val="00EB1D08"/>
    <w:rsid w:val="00EB3262"/>
    <w:rsid w:val="00EB34CB"/>
    <w:rsid w:val="00EB5819"/>
    <w:rsid w:val="00EB6E54"/>
    <w:rsid w:val="00EC192D"/>
    <w:rsid w:val="00EC27E0"/>
    <w:rsid w:val="00EC2D2A"/>
    <w:rsid w:val="00EC39F7"/>
    <w:rsid w:val="00EC532E"/>
    <w:rsid w:val="00EC5496"/>
    <w:rsid w:val="00EC6869"/>
    <w:rsid w:val="00EC7BC2"/>
    <w:rsid w:val="00ED06E4"/>
    <w:rsid w:val="00ED2DFE"/>
    <w:rsid w:val="00ED34BA"/>
    <w:rsid w:val="00ED3E94"/>
    <w:rsid w:val="00ED4CB0"/>
    <w:rsid w:val="00ED5B1C"/>
    <w:rsid w:val="00ED6BBC"/>
    <w:rsid w:val="00EE5D2F"/>
    <w:rsid w:val="00EF126A"/>
    <w:rsid w:val="00EF3E33"/>
    <w:rsid w:val="00F01473"/>
    <w:rsid w:val="00F03225"/>
    <w:rsid w:val="00F03278"/>
    <w:rsid w:val="00F0363A"/>
    <w:rsid w:val="00F046BC"/>
    <w:rsid w:val="00F1192B"/>
    <w:rsid w:val="00F11E7A"/>
    <w:rsid w:val="00F14854"/>
    <w:rsid w:val="00F166C2"/>
    <w:rsid w:val="00F169B3"/>
    <w:rsid w:val="00F2184A"/>
    <w:rsid w:val="00F21FB0"/>
    <w:rsid w:val="00F23CDA"/>
    <w:rsid w:val="00F24CEC"/>
    <w:rsid w:val="00F24FFF"/>
    <w:rsid w:val="00F25BCE"/>
    <w:rsid w:val="00F27474"/>
    <w:rsid w:val="00F30053"/>
    <w:rsid w:val="00F333C6"/>
    <w:rsid w:val="00F362C3"/>
    <w:rsid w:val="00F400D6"/>
    <w:rsid w:val="00F40FAD"/>
    <w:rsid w:val="00F420D8"/>
    <w:rsid w:val="00F427A3"/>
    <w:rsid w:val="00F43D01"/>
    <w:rsid w:val="00F43D46"/>
    <w:rsid w:val="00F43FBE"/>
    <w:rsid w:val="00F458EB"/>
    <w:rsid w:val="00F45AD8"/>
    <w:rsid w:val="00F51784"/>
    <w:rsid w:val="00F523CD"/>
    <w:rsid w:val="00F532AF"/>
    <w:rsid w:val="00F54296"/>
    <w:rsid w:val="00F603ED"/>
    <w:rsid w:val="00F63C49"/>
    <w:rsid w:val="00F6526F"/>
    <w:rsid w:val="00F66242"/>
    <w:rsid w:val="00F70852"/>
    <w:rsid w:val="00F80355"/>
    <w:rsid w:val="00F83DCD"/>
    <w:rsid w:val="00F843CF"/>
    <w:rsid w:val="00F84DB8"/>
    <w:rsid w:val="00F909CC"/>
    <w:rsid w:val="00F922FC"/>
    <w:rsid w:val="00F935C6"/>
    <w:rsid w:val="00F941D9"/>
    <w:rsid w:val="00F94702"/>
    <w:rsid w:val="00F9660D"/>
    <w:rsid w:val="00F96729"/>
    <w:rsid w:val="00FA28DD"/>
    <w:rsid w:val="00FA2B01"/>
    <w:rsid w:val="00FA71EF"/>
    <w:rsid w:val="00FB064E"/>
    <w:rsid w:val="00FB0D7F"/>
    <w:rsid w:val="00FB1CB6"/>
    <w:rsid w:val="00FB2AC2"/>
    <w:rsid w:val="00FB2AE7"/>
    <w:rsid w:val="00FB4018"/>
    <w:rsid w:val="00FB475F"/>
    <w:rsid w:val="00FB56A5"/>
    <w:rsid w:val="00FB748A"/>
    <w:rsid w:val="00FC0417"/>
    <w:rsid w:val="00FC39C2"/>
    <w:rsid w:val="00FC39F0"/>
    <w:rsid w:val="00FC75DB"/>
    <w:rsid w:val="00FC7E42"/>
    <w:rsid w:val="00FD0272"/>
    <w:rsid w:val="00FD3214"/>
    <w:rsid w:val="00FD34B1"/>
    <w:rsid w:val="00FD3E37"/>
    <w:rsid w:val="00FD5018"/>
    <w:rsid w:val="00FD57AB"/>
    <w:rsid w:val="00FD6705"/>
    <w:rsid w:val="00FD74ED"/>
    <w:rsid w:val="00FE39C7"/>
    <w:rsid w:val="00FE4CB7"/>
    <w:rsid w:val="00FE58CF"/>
    <w:rsid w:val="00FE6E7F"/>
    <w:rsid w:val="00FE7679"/>
    <w:rsid w:val="00FE7C73"/>
    <w:rsid w:val="00FF204C"/>
    <w:rsid w:val="00FF4608"/>
    <w:rsid w:val="00FF484E"/>
    <w:rsid w:val="00FF5080"/>
    <w:rsid w:val="03BA2131"/>
    <w:rsid w:val="073C7668"/>
    <w:rsid w:val="07F35494"/>
    <w:rsid w:val="08B915CA"/>
    <w:rsid w:val="09331ABF"/>
    <w:rsid w:val="094445B2"/>
    <w:rsid w:val="0A862689"/>
    <w:rsid w:val="0D576E17"/>
    <w:rsid w:val="0F7D437D"/>
    <w:rsid w:val="1001144E"/>
    <w:rsid w:val="106875CB"/>
    <w:rsid w:val="163976E4"/>
    <w:rsid w:val="16EF1057"/>
    <w:rsid w:val="17A40318"/>
    <w:rsid w:val="18895BA5"/>
    <w:rsid w:val="197310D0"/>
    <w:rsid w:val="19BD0D56"/>
    <w:rsid w:val="1B3C333B"/>
    <w:rsid w:val="1E9E7183"/>
    <w:rsid w:val="254259F1"/>
    <w:rsid w:val="2C9265D5"/>
    <w:rsid w:val="2F561217"/>
    <w:rsid w:val="2FD23E16"/>
    <w:rsid w:val="308A70A0"/>
    <w:rsid w:val="33277DE4"/>
    <w:rsid w:val="350259B6"/>
    <w:rsid w:val="3AFB2473"/>
    <w:rsid w:val="3B830B89"/>
    <w:rsid w:val="44663053"/>
    <w:rsid w:val="475062F3"/>
    <w:rsid w:val="48EB7FCA"/>
    <w:rsid w:val="4A507745"/>
    <w:rsid w:val="4A527BD5"/>
    <w:rsid w:val="50D92DFE"/>
    <w:rsid w:val="52B6036C"/>
    <w:rsid w:val="534D53DE"/>
    <w:rsid w:val="5A4566FD"/>
    <w:rsid w:val="6223037D"/>
    <w:rsid w:val="636C7AB1"/>
    <w:rsid w:val="6A5C442C"/>
    <w:rsid w:val="6A845F5F"/>
    <w:rsid w:val="6E931F60"/>
    <w:rsid w:val="71B648C4"/>
    <w:rsid w:val="76602F0E"/>
    <w:rsid w:val="76B86E8E"/>
    <w:rsid w:val="781060F3"/>
    <w:rsid w:val="7AC022E5"/>
    <w:rsid w:val="7C291AB3"/>
    <w:rsid w:val="7FA75C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9"/>
    <w:qFormat/>
    <w:uiPriority w:val="0"/>
    <w:pPr>
      <w:widowControl/>
      <w:spacing w:before="100" w:beforeAutospacing="1" w:after="100" w:afterAutospacing="1" w:line="240" w:lineRule="auto"/>
      <w:jc w:val="left"/>
      <w:outlineLvl w:val="2"/>
    </w:pPr>
    <w:rPr>
      <w:rFonts w:ascii="宋体" w:hAnsi="宋体" w:eastAsia="宋体" w:cs="宋体"/>
      <w:b/>
      <w:bCs/>
      <w:kern w:val="0"/>
      <w:sz w:val="27"/>
      <w:szCs w:val="27"/>
    </w:rPr>
  </w:style>
  <w:style w:type="paragraph" w:styleId="3">
    <w:name w:val="heading 4"/>
    <w:basedOn w:val="1"/>
    <w:next w:val="1"/>
    <w:link w:val="24"/>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line="600" w:lineRule="exact"/>
      <w:ind w:firstLine="630"/>
    </w:pPr>
    <w:rPr>
      <w:rFonts w:ascii="Times New Roman" w:hAnsi="Times New Roman" w:eastAsia="仿宋_GB2312" w:cs="Times New Roman"/>
      <w:sz w:val="32"/>
    </w:rPr>
  </w:style>
  <w:style w:type="paragraph" w:styleId="5">
    <w:name w:val="footer"/>
    <w:basedOn w:val="1"/>
    <w:link w:val="14"/>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HTML Preformatted"/>
    <w:basedOn w:val="1"/>
    <w:link w:val="1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eastAsia="宋体" w:cs="宋体"/>
      <w:kern w:val="0"/>
      <w:sz w:val="24"/>
      <w:szCs w:val="24"/>
    </w:rPr>
  </w:style>
  <w:style w:type="paragraph" w:styleId="8">
    <w:name w:val="Title"/>
    <w:basedOn w:val="1"/>
    <w:next w:val="4"/>
    <w:qFormat/>
    <w:uiPriority w:val="0"/>
    <w:pPr>
      <w:spacing w:before="240" w:after="60"/>
      <w:jc w:val="center"/>
      <w:outlineLvl w:val="0"/>
    </w:pPr>
    <w:rPr>
      <w:rFonts w:ascii="Arial" w:hAnsi="Arial" w:eastAsia="宋体" w:cs="Times New Roman"/>
      <w:b/>
      <w:sz w:val="32"/>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Hyperlink"/>
    <w:basedOn w:val="11"/>
    <w:qFormat/>
    <w:uiPriority w:val="0"/>
    <w:rPr>
      <w:color w:val="0000FF"/>
      <w:u w:val="single"/>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6">
    <w:name w:val="HTML 预设格式 字符"/>
    <w:basedOn w:val="11"/>
    <w:link w:val="7"/>
    <w:qFormat/>
    <w:uiPriority w:val="0"/>
    <w:rPr>
      <w:rFonts w:ascii="宋体" w:hAnsi="宋体" w:eastAsia="宋体" w:cs="宋体"/>
      <w:kern w:val="0"/>
      <w:sz w:val="24"/>
      <w:szCs w:val="24"/>
    </w:rPr>
  </w:style>
  <w:style w:type="paragraph" w:styleId="17">
    <w:name w:val="List Paragraph"/>
    <w:basedOn w:val="1"/>
    <w:qFormat/>
    <w:uiPriority w:val="34"/>
    <w:pPr>
      <w:spacing w:line="240" w:lineRule="auto"/>
      <w:ind w:firstLine="420" w:firstLineChars="200"/>
    </w:pPr>
    <w:rPr>
      <w:rFonts w:ascii="Times New Roman" w:hAnsi="Times New Roman" w:eastAsia="宋体" w:cs="Times New Roman"/>
      <w:szCs w:val="24"/>
    </w:rPr>
  </w:style>
  <w:style w:type="paragraph" w:customStyle="1" w:styleId="18">
    <w:name w:val="列出段落1"/>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19">
    <w:name w:val="标题 3 字符"/>
    <w:basedOn w:val="11"/>
    <w:link w:val="2"/>
    <w:qFormat/>
    <w:uiPriority w:val="0"/>
    <w:rPr>
      <w:rFonts w:ascii="宋体" w:hAnsi="宋体" w:eastAsia="宋体" w:cs="宋体"/>
      <w:b/>
      <w:bCs/>
      <w:kern w:val="0"/>
      <w:sz w:val="27"/>
      <w:szCs w:val="27"/>
    </w:rPr>
  </w:style>
  <w:style w:type="paragraph" w:customStyle="1" w:styleId="20">
    <w:name w:val="列出段落2"/>
    <w:basedOn w:val="1"/>
    <w:qFormat/>
    <w:uiPriority w:val="0"/>
    <w:pPr>
      <w:spacing w:line="240" w:lineRule="auto"/>
      <w:ind w:firstLine="420" w:firstLineChars="200"/>
    </w:pPr>
    <w:rPr>
      <w:rFonts w:ascii="Times New Roman" w:hAnsi="Times New Roman" w:eastAsia="宋体" w:cs="Times New Roman"/>
      <w:szCs w:val="24"/>
    </w:rPr>
  </w:style>
  <w:style w:type="paragraph" w:customStyle="1" w:styleId="21">
    <w:name w:val="列出段落3"/>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2">
    <w:name w:val="detail-field type-label"/>
    <w:basedOn w:val="11"/>
    <w:qFormat/>
    <w:uiPriority w:val="0"/>
  </w:style>
  <w:style w:type="paragraph" w:customStyle="1" w:styleId="23">
    <w:name w:val="列出段落4"/>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4">
    <w:name w:val="标题 4 字符"/>
    <w:basedOn w:val="11"/>
    <w:link w:val="3"/>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2929</Words>
  <Characters>3029</Characters>
  <Lines>1</Lines>
  <Paragraphs>1</Paragraphs>
  <TotalTime>0</TotalTime>
  <ScaleCrop>false</ScaleCrop>
  <LinksUpToDate>false</LinksUpToDate>
  <CharactersWithSpaces>3031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2019-10-23T02:46:00Z</dcterms:created>
  <dc:creator>中科软</dc:creator>
  <cp:lastModifiedBy>Alex Spieler</cp:lastModifiedBy>
  <cp:lastPrinted>2024-09-23T02:30:00Z</cp:lastPrinted>
  <dcterms:modified xsi:type="dcterms:W3CDTF">2025-07-14T05:54:11Z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FF02ADEC6CF04F5E8FD4B8BC8D1A6F56_12</vt:lpwstr>
  </property>
  <property fmtid="{D5CDD505-2E9C-101B-9397-08002B2CF9AE}" pid="4" name="KSOTemplateDocerSaveRecord">
    <vt:lpwstr>eyJoZGlkIjoiOGVhNTdjNDY1MGIzOTM4NDZjY2RiY2VjMjQ5NjUzNzIiLCJ1c2VySWQiOiIzMDY4NDg1MTAifQ==</vt:lpwstr>
  </property>
</Properties>
</file>