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5BC" w:rsidRPr="000515BC" w:rsidRDefault="000515BC" w:rsidP="000515BC">
      <w:pPr>
        <w:widowControl/>
        <w:shd w:val="clear" w:color="auto" w:fill="FFFFFF"/>
        <w:wordWrap w:val="0"/>
        <w:jc w:val="center"/>
        <w:rPr>
          <w:rFonts w:ascii="inherit" w:eastAsia="宋体" w:hAnsi="inherit" w:cs="宋体" w:hint="eastAsia"/>
          <w:color w:val="4A4A4A"/>
          <w:kern w:val="0"/>
          <w:sz w:val="27"/>
          <w:szCs w:val="27"/>
        </w:rPr>
      </w:pPr>
      <w:r w:rsidRPr="000515BC">
        <w:rPr>
          <w:rFonts w:ascii="inherit" w:eastAsia="宋体" w:hAnsi="inherit" w:cs="宋体"/>
          <w:color w:val="4A4A4A"/>
          <w:kern w:val="0"/>
          <w:sz w:val="27"/>
          <w:szCs w:val="27"/>
        </w:rPr>
        <w:t>中华人民共和国环境保护税法实施条例</w:t>
      </w:r>
    </w:p>
    <w:tbl>
      <w:tblPr>
        <w:tblW w:w="0" w:type="auto"/>
        <w:tblCellSpacing w:w="15" w:type="dxa"/>
        <w:tblCellMar>
          <w:top w:w="15" w:type="dxa"/>
          <w:left w:w="15" w:type="dxa"/>
          <w:bottom w:w="15" w:type="dxa"/>
          <w:right w:w="15" w:type="dxa"/>
        </w:tblCellMar>
        <w:tblLook w:val="04A0"/>
      </w:tblPr>
      <w:tblGrid>
        <w:gridCol w:w="994"/>
        <w:gridCol w:w="4240"/>
        <w:gridCol w:w="980"/>
        <w:gridCol w:w="2182"/>
      </w:tblGrid>
      <w:tr w:rsidR="000515BC" w:rsidRPr="000515BC" w:rsidTr="000515BC">
        <w:trPr>
          <w:gridAfter w:val="2"/>
          <w:wAfter w:w="4155" w:type="dxa"/>
          <w:tblCellSpacing w:w="15" w:type="dxa"/>
        </w:trPr>
        <w:tc>
          <w:tcPr>
            <w:tcW w:w="1200" w:type="dxa"/>
            <w:vAlign w:val="center"/>
            <w:hideMark/>
          </w:tcPr>
          <w:p w:rsidR="000515BC" w:rsidRPr="000515BC" w:rsidRDefault="000515BC" w:rsidP="000515BC">
            <w:pPr>
              <w:widowControl/>
              <w:wordWrap w:val="0"/>
              <w:spacing w:before="100" w:beforeAutospacing="1" w:after="100" w:afterAutospacing="1"/>
              <w:jc w:val="righ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公布机关：</w:t>
            </w:r>
          </w:p>
        </w:tc>
        <w:tc>
          <w:tcPr>
            <w:tcW w:w="6000" w:type="dxa"/>
            <w:vAlign w:val="center"/>
            <w:hideMark/>
          </w:tcPr>
          <w:p w:rsidR="000515BC" w:rsidRPr="000515BC" w:rsidRDefault="000515BC" w:rsidP="000515BC">
            <w:pPr>
              <w:widowControl/>
              <w:wordWrap w:val="0"/>
              <w:spacing w:before="100" w:beforeAutospacing="1" w:after="100" w:afterAutospacing="1"/>
              <w:jc w:val="lef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国务院</w:t>
            </w:r>
          </w:p>
        </w:tc>
      </w:tr>
      <w:tr w:rsidR="000515BC" w:rsidRPr="000515BC" w:rsidTr="000515BC">
        <w:trPr>
          <w:tblCellSpacing w:w="15" w:type="dxa"/>
        </w:trPr>
        <w:tc>
          <w:tcPr>
            <w:tcW w:w="1200" w:type="dxa"/>
            <w:vAlign w:val="center"/>
            <w:hideMark/>
          </w:tcPr>
          <w:p w:rsidR="000515BC" w:rsidRPr="000515BC" w:rsidRDefault="000515BC" w:rsidP="000515BC">
            <w:pPr>
              <w:widowControl/>
              <w:wordWrap w:val="0"/>
              <w:spacing w:before="100" w:beforeAutospacing="1" w:after="100" w:afterAutospacing="1"/>
              <w:jc w:val="righ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公布日期：</w:t>
            </w:r>
          </w:p>
        </w:tc>
        <w:tc>
          <w:tcPr>
            <w:tcW w:w="3000" w:type="dxa"/>
            <w:vAlign w:val="center"/>
            <w:hideMark/>
          </w:tcPr>
          <w:p w:rsidR="000515BC" w:rsidRPr="000515BC" w:rsidRDefault="000515BC" w:rsidP="000515BC">
            <w:pPr>
              <w:widowControl/>
              <w:wordWrap w:val="0"/>
              <w:spacing w:before="100" w:beforeAutospacing="1" w:after="100" w:afterAutospacing="1"/>
              <w:jc w:val="lef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2017.12.25</w:t>
            </w:r>
          </w:p>
        </w:tc>
        <w:tc>
          <w:tcPr>
            <w:tcW w:w="1200" w:type="dxa"/>
            <w:vAlign w:val="center"/>
            <w:hideMark/>
          </w:tcPr>
          <w:p w:rsidR="000515BC" w:rsidRPr="000515BC" w:rsidRDefault="000515BC" w:rsidP="000515BC">
            <w:pPr>
              <w:widowControl/>
              <w:wordWrap w:val="0"/>
              <w:spacing w:before="100" w:beforeAutospacing="1" w:after="100" w:afterAutospacing="1"/>
              <w:jc w:val="righ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施行日期：</w:t>
            </w:r>
          </w:p>
        </w:tc>
        <w:tc>
          <w:tcPr>
            <w:tcW w:w="3000" w:type="dxa"/>
            <w:vAlign w:val="center"/>
            <w:hideMark/>
          </w:tcPr>
          <w:p w:rsidR="000515BC" w:rsidRPr="000515BC" w:rsidRDefault="000515BC" w:rsidP="000515BC">
            <w:pPr>
              <w:widowControl/>
              <w:wordWrap w:val="0"/>
              <w:spacing w:before="100" w:beforeAutospacing="1" w:after="100" w:afterAutospacing="1"/>
              <w:jc w:val="lef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2017.12.30</w:t>
            </w:r>
          </w:p>
        </w:tc>
      </w:tr>
      <w:tr w:rsidR="000515BC" w:rsidRPr="000515BC" w:rsidTr="000515BC">
        <w:trPr>
          <w:tblCellSpacing w:w="15" w:type="dxa"/>
        </w:trPr>
        <w:tc>
          <w:tcPr>
            <w:tcW w:w="1200" w:type="dxa"/>
            <w:vAlign w:val="center"/>
            <w:hideMark/>
          </w:tcPr>
          <w:p w:rsidR="000515BC" w:rsidRPr="000515BC" w:rsidRDefault="000515BC" w:rsidP="000515BC">
            <w:pPr>
              <w:widowControl/>
              <w:wordWrap w:val="0"/>
              <w:spacing w:before="100" w:beforeAutospacing="1" w:after="100" w:afterAutospacing="1"/>
              <w:jc w:val="righ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效力：</w:t>
            </w:r>
          </w:p>
        </w:tc>
        <w:tc>
          <w:tcPr>
            <w:tcW w:w="3000" w:type="dxa"/>
            <w:vAlign w:val="center"/>
            <w:hideMark/>
          </w:tcPr>
          <w:p w:rsidR="000515BC" w:rsidRPr="000515BC" w:rsidRDefault="000515BC" w:rsidP="000515BC">
            <w:pPr>
              <w:widowControl/>
              <w:wordWrap w:val="0"/>
              <w:spacing w:before="100" w:beforeAutospacing="1" w:after="100" w:afterAutospacing="1"/>
              <w:jc w:val="lef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有效</w:t>
            </w:r>
          </w:p>
        </w:tc>
        <w:tc>
          <w:tcPr>
            <w:tcW w:w="1200" w:type="dxa"/>
            <w:vAlign w:val="center"/>
            <w:hideMark/>
          </w:tcPr>
          <w:p w:rsidR="000515BC" w:rsidRPr="000515BC" w:rsidRDefault="000515BC" w:rsidP="000515BC">
            <w:pPr>
              <w:widowControl/>
              <w:wordWrap w:val="0"/>
              <w:spacing w:before="100" w:beforeAutospacing="1" w:after="100" w:afterAutospacing="1"/>
              <w:jc w:val="righ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门类：</w:t>
            </w:r>
          </w:p>
        </w:tc>
        <w:tc>
          <w:tcPr>
            <w:tcW w:w="3000" w:type="dxa"/>
            <w:vAlign w:val="center"/>
            <w:hideMark/>
          </w:tcPr>
          <w:p w:rsidR="000515BC" w:rsidRPr="000515BC" w:rsidRDefault="000515BC" w:rsidP="000515BC">
            <w:pPr>
              <w:widowControl/>
              <w:wordWrap w:val="0"/>
              <w:spacing w:before="100" w:beforeAutospacing="1" w:after="100" w:afterAutospacing="1"/>
              <w:jc w:val="left"/>
              <w:rPr>
                <w:rFonts w:ascii="inherit" w:eastAsia="宋体" w:hAnsi="inherit" w:cs="宋体" w:hint="eastAsia"/>
                <w:color w:val="989898"/>
                <w:kern w:val="0"/>
                <w:sz w:val="18"/>
                <w:szCs w:val="18"/>
              </w:rPr>
            </w:pPr>
            <w:r w:rsidRPr="000515BC">
              <w:rPr>
                <w:rFonts w:ascii="inherit" w:eastAsia="宋体" w:hAnsi="inherit" w:cs="宋体"/>
                <w:color w:val="989898"/>
                <w:kern w:val="0"/>
                <w:sz w:val="18"/>
                <w:szCs w:val="18"/>
              </w:rPr>
              <w:t>经济法</w:t>
            </w:r>
          </w:p>
        </w:tc>
      </w:tr>
    </w:tbl>
    <w:p w:rsidR="000515BC" w:rsidRPr="000515BC" w:rsidRDefault="000515BC" w:rsidP="000515BC">
      <w:pPr>
        <w:widowControl/>
        <w:shd w:val="clear" w:color="auto" w:fill="FFFFFF"/>
        <w:wordWrap w:val="0"/>
        <w:spacing w:after="225"/>
        <w:jc w:val="center"/>
        <w:rPr>
          <w:rFonts w:ascii="inherit" w:eastAsia="宋体" w:hAnsi="inherit" w:cs="宋体" w:hint="eastAsia"/>
          <w:color w:val="4A4A4A"/>
          <w:kern w:val="0"/>
          <w:szCs w:val="21"/>
        </w:rPr>
      </w:pPr>
      <w:r w:rsidRPr="000515BC">
        <w:rPr>
          <w:rFonts w:ascii="inherit" w:eastAsia="宋体" w:hAnsi="inherit" w:cs="宋体"/>
          <w:color w:val="4A4A4A"/>
          <w:kern w:val="0"/>
          <w:szCs w:val="21"/>
        </w:rPr>
        <w:t>（</w:t>
      </w:r>
      <w:r w:rsidRPr="000515BC">
        <w:rPr>
          <w:rFonts w:ascii="inherit" w:eastAsia="宋体" w:hAnsi="inherit" w:cs="宋体"/>
          <w:color w:val="4A4A4A"/>
          <w:kern w:val="0"/>
          <w:szCs w:val="21"/>
        </w:rPr>
        <w:t>2017</w:t>
      </w:r>
      <w:r w:rsidRPr="000515BC">
        <w:rPr>
          <w:rFonts w:ascii="inherit" w:eastAsia="宋体" w:hAnsi="inherit" w:cs="宋体"/>
          <w:color w:val="4A4A4A"/>
          <w:kern w:val="0"/>
          <w:szCs w:val="21"/>
        </w:rPr>
        <w:t>年</w:t>
      </w:r>
      <w:r w:rsidRPr="000515BC">
        <w:rPr>
          <w:rFonts w:ascii="inherit" w:eastAsia="宋体" w:hAnsi="inherit" w:cs="宋体"/>
          <w:color w:val="4A4A4A"/>
          <w:kern w:val="0"/>
          <w:szCs w:val="21"/>
        </w:rPr>
        <w:t>12</w:t>
      </w:r>
      <w:r w:rsidRPr="000515BC">
        <w:rPr>
          <w:rFonts w:ascii="inherit" w:eastAsia="宋体" w:hAnsi="inherit" w:cs="宋体"/>
          <w:color w:val="4A4A4A"/>
          <w:kern w:val="0"/>
          <w:szCs w:val="21"/>
        </w:rPr>
        <w:t>月</w:t>
      </w:r>
      <w:r w:rsidRPr="000515BC">
        <w:rPr>
          <w:rFonts w:ascii="inherit" w:eastAsia="宋体" w:hAnsi="inherit" w:cs="宋体"/>
          <w:color w:val="4A4A4A"/>
          <w:kern w:val="0"/>
          <w:szCs w:val="21"/>
        </w:rPr>
        <w:t>30</w:t>
      </w:r>
      <w:r w:rsidRPr="000515BC">
        <w:rPr>
          <w:rFonts w:ascii="inherit" w:eastAsia="宋体" w:hAnsi="inherit" w:cs="宋体"/>
          <w:color w:val="4A4A4A"/>
          <w:kern w:val="0"/>
          <w:szCs w:val="21"/>
        </w:rPr>
        <w:t>日中华人民共和国国务院令第</w:t>
      </w:r>
      <w:r w:rsidRPr="000515BC">
        <w:rPr>
          <w:rFonts w:ascii="inherit" w:eastAsia="宋体" w:hAnsi="inherit" w:cs="宋体"/>
          <w:color w:val="4A4A4A"/>
          <w:kern w:val="0"/>
          <w:szCs w:val="21"/>
        </w:rPr>
        <w:t>693</w:t>
      </w:r>
      <w:r w:rsidRPr="000515BC">
        <w:rPr>
          <w:rFonts w:ascii="inherit" w:eastAsia="宋体" w:hAnsi="inherit" w:cs="宋体"/>
          <w:color w:val="4A4A4A"/>
          <w:kern w:val="0"/>
          <w:szCs w:val="21"/>
        </w:rPr>
        <w:t>号公布</w:t>
      </w:r>
      <w:r w:rsidRPr="000515BC">
        <w:rPr>
          <w:rFonts w:ascii="inherit" w:eastAsia="宋体" w:hAnsi="inherit" w:cs="宋体"/>
          <w:color w:val="4A4A4A"/>
          <w:kern w:val="0"/>
          <w:szCs w:val="21"/>
        </w:rPr>
        <w:t xml:space="preserve"> </w:t>
      </w:r>
      <w:r w:rsidRPr="000515BC">
        <w:rPr>
          <w:rFonts w:ascii="inherit" w:eastAsia="宋体" w:hAnsi="inherit" w:cs="宋体"/>
          <w:color w:val="4A4A4A"/>
          <w:kern w:val="0"/>
          <w:szCs w:val="21"/>
        </w:rPr>
        <w:t>自</w:t>
      </w:r>
      <w:r w:rsidRPr="000515BC">
        <w:rPr>
          <w:rFonts w:ascii="inherit" w:eastAsia="宋体" w:hAnsi="inherit" w:cs="宋体"/>
          <w:color w:val="4A4A4A"/>
          <w:kern w:val="0"/>
          <w:szCs w:val="21"/>
        </w:rPr>
        <w:t>2018</w:t>
      </w:r>
      <w:r w:rsidRPr="000515BC">
        <w:rPr>
          <w:rFonts w:ascii="inherit" w:eastAsia="宋体" w:hAnsi="inherit" w:cs="宋体"/>
          <w:color w:val="4A4A4A"/>
          <w:kern w:val="0"/>
          <w:szCs w:val="21"/>
        </w:rPr>
        <w:t>年</w:t>
      </w:r>
      <w:r w:rsidRPr="000515BC">
        <w:rPr>
          <w:rFonts w:ascii="inherit" w:eastAsia="宋体" w:hAnsi="inherit" w:cs="宋体"/>
          <w:color w:val="4A4A4A"/>
          <w:kern w:val="0"/>
          <w:szCs w:val="21"/>
        </w:rPr>
        <w:t>1</w:t>
      </w:r>
      <w:r w:rsidRPr="000515BC">
        <w:rPr>
          <w:rFonts w:ascii="inherit" w:eastAsia="宋体" w:hAnsi="inherit" w:cs="宋体"/>
          <w:color w:val="4A4A4A"/>
          <w:kern w:val="0"/>
          <w:szCs w:val="21"/>
        </w:rPr>
        <w:t>月</w:t>
      </w:r>
      <w:r w:rsidRPr="000515BC">
        <w:rPr>
          <w:rFonts w:ascii="inherit" w:eastAsia="宋体" w:hAnsi="inherit" w:cs="宋体"/>
          <w:color w:val="4A4A4A"/>
          <w:kern w:val="0"/>
          <w:szCs w:val="21"/>
        </w:rPr>
        <w:t>1</w:t>
      </w:r>
      <w:r w:rsidRPr="000515BC">
        <w:rPr>
          <w:rFonts w:ascii="inherit" w:eastAsia="宋体" w:hAnsi="inherit" w:cs="宋体"/>
          <w:color w:val="4A4A4A"/>
          <w:kern w:val="0"/>
          <w:szCs w:val="21"/>
        </w:rPr>
        <w:t>日起施行）</w:t>
      </w:r>
    </w:p>
    <w:p w:rsidR="000515BC" w:rsidRPr="000515BC" w:rsidRDefault="000515BC" w:rsidP="000515BC">
      <w:pPr>
        <w:widowControl/>
        <w:shd w:val="clear" w:color="auto" w:fill="FFFFFF"/>
        <w:wordWrap w:val="0"/>
        <w:spacing w:after="225"/>
        <w:jc w:val="center"/>
        <w:rPr>
          <w:rFonts w:ascii="inherit" w:eastAsia="宋体" w:hAnsi="inherit" w:cs="宋体" w:hint="eastAsia"/>
          <w:color w:val="4A4A4A"/>
          <w:kern w:val="0"/>
          <w:sz w:val="25"/>
          <w:szCs w:val="25"/>
        </w:rPr>
      </w:pPr>
      <w:r w:rsidRPr="000515BC">
        <w:rPr>
          <w:rFonts w:ascii="inherit" w:eastAsia="宋体" w:hAnsi="inherit" w:cs="宋体"/>
          <w:color w:val="4A4A4A"/>
          <w:kern w:val="0"/>
          <w:sz w:val="25"/>
          <w:szCs w:val="25"/>
        </w:rPr>
        <w:t>第一章　总则</w: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第一条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根据《中华人民共和国环境保护税法》（以下简称环境保护税法），制定本条例。</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25"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第二条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环境保护税法所附《环境保护税税目税额表》所称其他固体废物的具体范围，依照环境保护税法第六条第二款规定的程序确定。</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26"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第三条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环境保护税法第五条第一款、第十二条第一款第三项规定的城乡污水集中处理场所，是指为社会公众提供生活污水处理服务的场所，不包括为工业园区、开发区等工业聚集区域内的企业事业单位和其他生产经营者提供污水处理服务的场所，以及企业事业单位和其他生产经营者自建自用的污水处理场所。</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27"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第四条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达到省级人民政府确定的规模标准并且有污染物排放口的畜禽养殖场，应当依法缴纳环境保护税；依法对畜禽养殖废弃物进行综合利用和无害化处理的，不属于直接向环境排放污染物，不缴纳环境保护税。</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28" style="width:0;height:.75pt" o:hralign="center" o:hrstd="t" o:hrnoshade="t" o:hr="t" fillcolor="#ddd" stroked="f"/>
        </w:pict>
      </w:r>
    </w:p>
    <w:p w:rsidR="000515BC" w:rsidRPr="000515BC" w:rsidRDefault="000515BC" w:rsidP="000515BC">
      <w:pPr>
        <w:widowControl/>
        <w:shd w:val="clear" w:color="auto" w:fill="FFFFFF"/>
        <w:wordWrap w:val="0"/>
        <w:spacing w:after="225"/>
        <w:jc w:val="center"/>
        <w:rPr>
          <w:rFonts w:ascii="inherit" w:eastAsia="宋体" w:hAnsi="inherit" w:cs="宋体" w:hint="eastAsia"/>
          <w:color w:val="4A4A4A"/>
          <w:kern w:val="0"/>
          <w:sz w:val="25"/>
          <w:szCs w:val="25"/>
        </w:rPr>
      </w:pPr>
      <w:r w:rsidRPr="000515BC">
        <w:rPr>
          <w:rFonts w:ascii="inherit" w:eastAsia="宋体" w:hAnsi="inherit" w:cs="宋体"/>
          <w:color w:val="4A4A4A"/>
          <w:kern w:val="0"/>
          <w:sz w:val="25"/>
          <w:szCs w:val="25"/>
        </w:rPr>
        <w:t>第二章　计税依据</w: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第五条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应税固体废物的计税依据，按照固体废物的排放量确定。固体废物的排放量为当期应税固体废物的产生量减去当期应税固体废物的贮存量、处置量、综合利用量的余额。</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前款规定的固体废物的贮存量、处置量，是指在符合国家和地方环境保护标准的设施、场所贮存或者处置的固体废物数量；固体废物的综合利用量，是指按照国务院发展改革、工业和信息化主管部门关于资源综合利用要求以及国家和地方环境保护标准进行综合利用的固体废物数量。</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lastRenderedPageBreak/>
        <w:pict>
          <v:rect id="_x0000_i1029"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第六条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纳税人有下列情形之一的，以其当期应税固体废物的产生量作为固体废物的排放量：</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（一）非法倾倒应税固体废物；</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（二）进行虚假纳税申报。</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30"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第七条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应税大气污染物、水污染物的计税依据，按照污染物排放量折合的污染当量数确定。</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纳税人有下列情形之一的，以其当期应税大气污染物、水污染物的产生量作为污染物的排放量：</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（一）未依法安装使用污染物自动监测设备或者未将污染物自动监测设备与环境保护主管部门的监控设备联网；</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（二）损毁或者擅自移动、改变污染物自动监测设备；</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（三）篡改、伪造污染物监测数据；</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（四）通过暗管、渗井、渗坑、灌注或者稀释排放以及不正常运行防治污染设施等方式违法排放应税污染物；</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（五）进行虚假纳税申报。</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31"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第八条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从两个以上排放口排放应税污染物的，对每一排放口排放的应税污染物分别计算征收环境保护税；纳税人持有排污许可证的，其污染物排放</w:t>
            </w:r>
            <w:proofErr w:type="gramStart"/>
            <w:r w:rsidRPr="000515BC">
              <w:rPr>
                <w:rFonts w:ascii="inherit" w:eastAsia="宋体" w:hAnsi="inherit" w:cs="宋体"/>
                <w:color w:val="4A4A4A"/>
                <w:kern w:val="0"/>
                <w:sz w:val="24"/>
                <w:szCs w:val="24"/>
              </w:rPr>
              <w:t>口按照</w:t>
            </w:r>
            <w:proofErr w:type="gramEnd"/>
            <w:r w:rsidRPr="000515BC">
              <w:rPr>
                <w:rFonts w:ascii="inherit" w:eastAsia="宋体" w:hAnsi="inherit" w:cs="宋体"/>
                <w:color w:val="4A4A4A"/>
                <w:kern w:val="0"/>
                <w:sz w:val="24"/>
                <w:szCs w:val="24"/>
              </w:rPr>
              <w:t>排污许可证载明的污染物排放口确定。</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32"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第九条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属于环境保护税法第十条第二项规定情形的纳税人，自行对污染物进行监测所获取的监测数据，符合国家有关规定和监测规范的，视同环境保护税法第十条第二项规定的监测机构出具的监测数据。</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pict>
          <v:rect id="_x0000_i1033" style="width:0;height:.75pt" o:hralign="center" o:hrstd="t" o:hrnoshade="t" o:hr="t" fillcolor="#ddd" stroked="f"/>
        </w:pict>
      </w:r>
    </w:p>
    <w:p w:rsidR="000515BC" w:rsidRPr="000515BC" w:rsidRDefault="000515BC" w:rsidP="000515BC">
      <w:pPr>
        <w:widowControl/>
        <w:shd w:val="clear" w:color="auto" w:fill="FFFFFF"/>
        <w:wordWrap w:val="0"/>
        <w:spacing w:after="225"/>
        <w:jc w:val="center"/>
        <w:rPr>
          <w:rFonts w:ascii="inherit" w:eastAsia="宋体" w:hAnsi="inherit" w:cs="宋体" w:hint="eastAsia"/>
          <w:color w:val="4A4A4A"/>
          <w:kern w:val="0"/>
          <w:sz w:val="25"/>
          <w:szCs w:val="25"/>
        </w:rPr>
      </w:pPr>
      <w:r w:rsidRPr="000515BC">
        <w:rPr>
          <w:rFonts w:ascii="inherit" w:eastAsia="宋体" w:hAnsi="inherit" w:cs="宋体"/>
          <w:color w:val="4A4A4A"/>
          <w:kern w:val="0"/>
          <w:sz w:val="25"/>
          <w:szCs w:val="25"/>
        </w:rPr>
        <w:t>第三章　税收减免</w:t>
      </w:r>
    </w:p>
    <w:tbl>
      <w:tblPr>
        <w:tblW w:w="0" w:type="auto"/>
        <w:tblCellSpacing w:w="15" w:type="dxa"/>
        <w:tblCellMar>
          <w:top w:w="15" w:type="dxa"/>
          <w:left w:w="15" w:type="dxa"/>
          <w:bottom w:w="15" w:type="dxa"/>
          <w:right w:w="15" w:type="dxa"/>
        </w:tblCellMar>
        <w:tblLook w:val="04A0"/>
      </w:tblPr>
      <w:tblGrid>
        <w:gridCol w:w="855"/>
        <w:gridCol w:w="7541"/>
      </w:tblGrid>
      <w:tr w:rsidR="000515BC" w:rsidRPr="000515BC" w:rsidTr="000515BC">
        <w:trPr>
          <w:tblCellSpacing w:w="15" w:type="dxa"/>
        </w:trPr>
        <w:tc>
          <w:tcPr>
            <w:tcW w:w="0" w:type="auto"/>
            <w:noWrap/>
            <w:hideMark/>
          </w:tcPr>
          <w:p w:rsidR="000515BC" w:rsidRPr="000515BC" w:rsidRDefault="000515BC" w:rsidP="000515BC">
            <w:pPr>
              <w:widowControl/>
              <w:wordWrap w:val="0"/>
              <w:spacing w:before="225" w:after="225"/>
              <w:jc w:val="left"/>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第十条</w:t>
            </w:r>
            <w:r w:rsidRPr="000515BC">
              <w:rPr>
                <w:rFonts w:ascii="inherit" w:eastAsia="宋体" w:hAnsi="inherit" w:cs="宋体"/>
                <w:color w:val="4A4A4A"/>
                <w:kern w:val="0"/>
                <w:sz w:val="24"/>
                <w:szCs w:val="24"/>
              </w:rPr>
              <w:t> </w:t>
            </w:r>
          </w:p>
        </w:tc>
        <w:tc>
          <w:tcPr>
            <w:tcW w:w="0" w:type="auto"/>
            <w:hideMark/>
          </w:tcPr>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t xml:space="preserve">　　环境保护税法第十三条所称应税大气污染物或者水污染物的浓度值，是指纳税人安装使用的污染物自动监测设备当月自动监测的应税大气污染物浓度值的小时平均值再平均所得数值或者应税水污染物浓度值的日平均值再平均所得数值，或者监测机构当月监测的应税大气污染物、水污染物浓度值的平均值。</w:t>
            </w:r>
          </w:p>
          <w:p w:rsidR="000515BC" w:rsidRPr="000515BC" w:rsidRDefault="000515BC" w:rsidP="000515BC">
            <w:pPr>
              <w:widowControl/>
              <w:wordWrap w:val="0"/>
              <w:spacing w:after="150"/>
              <w:rPr>
                <w:rFonts w:ascii="inherit" w:eastAsia="宋体" w:hAnsi="inherit" w:cs="宋体" w:hint="eastAsia"/>
                <w:color w:val="4A4A4A"/>
                <w:kern w:val="0"/>
                <w:sz w:val="24"/>
                <w:szCs w:val="24"/>
              </w:rPr>
            </w:pPr>
            <w:r w:rsidRPr="000515BC">
              <w:rPr>
                <w:rFonts w:ascii="inherit" w:eastAsia="宋体" w:hAnsi="inherit" w:cs="宋体"/>
                <w:color w:val="4A4A4A"/>
                <w:kern w:val="0"/>
                <w:sz w:val="24"/>
                <w:szCs w:val="24"/>
              </w:rPr>
              <w:lastRenderedPageBreak/>
              <w:t xml:space="preserve">　　依照环境保护税法第十三条的规定减征环境保护税的，前款规定的应税大气污染物浓度值的小时平均值或者应税水污染物浓度值的日平均值，以及监测机构当月每次监测的应税大气污染物、水污染物的浓度值，均不得超过国家和地方规定的污染物排放标准。</w:t>
            </w:r>
          </w:p>
        </w:tc>
      </w:tr>
    </w:tbl>
    <w:p w:rsidR="000515BC" w:rsidRPr="000515BC" w:rsidRDefault="000E4E7D" w:rsidP="000515BC">
      <w:pPr>
        <w:widowControl/>
        <w:shd w:val="clear" w:color="auto" w:fill="FFFFFF"/>
        <w:wordWrap w:val="0"/>
        <w:spacing w:before="105" w:after="105"/>
        <w:jc w:val="left"/>
        <w:rPr>
          <w:rFonts w:ascii="inherit" w:eastAsia="宋体" w:hAnsi="inherit" w:cs="宋体" w:hint="eastAsia"/>
          <w:color w:val="4A4A4A"/>
          <w:kern w:val="0"/>
          <w:szCs w:val="21"/>
        </w:rPr>
      </w:pPr>
      <w:r w:rsidRPr="000E4E7D">
        <w:rPr>
          <w:rFonts w:ascii="inherit" w:eastAsia="宋体" w:hAnsi="inherit" w:cs="宋体"/>
          <w:color w:val="4A4A4A"/>
          <w:kern w:val="0"/>
          <w:szCs w:val="21"/>
        </w:rPr>
        <w:lastRenderedPageBreak/>
        <w:pict>
          <v:rect id="_x0000_i1034"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第十一条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依照环境保护税法第十三条的规定减征环境保护税的，应当对每一排放口排放的不同应税污染物分别计算。</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35" style="width:0;height:.75pt" o:hralign="center" o:hrstd="t" o:hrnoshade="t" o:hr="t" fillcolor="#ddd" stroked="f"/>
        </w:pict>
      </w:r>
    </w:p>
    <w:p w:rsidR="00FF2FC6" w:rsidRPr="00FF2FC6" w:rsidRDefault="00FF2FC6" w:rsidP="00FF2FC6">
      <w:pPr>
        <w:widowControl/>
        <w:shd w:val="clear" w:color="auto" w:fill="FFFFFF"/>
        <w:wordWrap w:val="0"/>
        <w:spacing w:after="225"/>
        <w:jc w:val="center"/>
        <w:rPr>
          <w:rFonts w:ascii="inherit" w:eastAsia="宋体" w:hAnsi="inherit" w:cs="宋体"/>
          <w:color w:val="4A4A4A"/>
          <w:kern w:val="0"/>
          <w:sz w:val="25"/>
          <w:szCs w:val="25"/>
        </w:rPr>
      </w:pPr>
      <w:r w:rsidRPr="00FF2FC6">
        <w:rPr>
          <w:rFonts w:ascii="inherit" w:eastAsia="宋体" w:hAnsi="inherit" w:cs="宋体"/>
          <w:color w:val="4A4A4A"/>
          <w:kern w:val="0"/>
          <w:sz w:val="25"/>
          <w:szCs w:val="25"/>
        </w:rPr>
        <w:t>第四章　征收管理</w: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第十二条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hint="eastAsia"/>
                <w:color w:val="4A4A4A"/>
                <w:kern w:val="0"/>
                <w:sz w:val="24"/>
                <w:szCs w:val="24"/>
              </w:rPr>
            </w:pPr>
            <w:r w:rsidRPr="00FF2FC6">
              <w:rPr>
                <w:rFonts w:ascii="inherit" w:eastAsia="宋体" w:hAnsi="inherit" w:cs="宋体"/>
                <w:color w:val="4A4A4A"/>
                <w:kern w:val="0"/>
                <w:sz w:val="24"/>
                <w:szCs w:val="24"/>
              </w:rPr>
              <w:t xml:space="preserve">　　税务机关依法履行环境保护税纳税申报受理、涉税信息比对、组织税款入库等职责。</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环境保护主管部门依法负责应税污染物监测管理，制定和完善污染物监测规范。</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36"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第十三条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县级以上地方人民政府应当加强对环境保护税征收管理工作的领导，及时协调、解决环境保护税征收管理工作中的重大问题。</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37"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第十四条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国务院税务、环境保护主管部门制定涉税信息共享平台技术标准以及数据采集、存储、传输、查询和使用规范。</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38"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第十五条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hint="eastAsia"/>
                <w:color w:val="4A4A4A"/>
                <w:kern w:val="0"/>
                <w:sz w:val="24"/>
                <w:szCs w:val="24"/>
              </w:rPr>
            </w:pPr>
            <w:r w:rsidRPr="00FF2FC6">
              <w:rPr>
                <w:rFonts w:ascii="inherit" w:eastAsia="宋体" w:hAnsi="inherit" w:cs="宋体"/>
                <w:color w:val="4A4A4A"/>
                <w:kern w:val="0"/>
                <w:sz w:val="24"/>
                <w:szCs w:val="24"/>
              </w:rPr>
              <w:t xml:space="preserve">　　环境保护主管部门应当通过涉税信息共享平台向税务机关交送在环境保护监督管理中获取的下列信息：</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（一）排污单位的名称、统一社会信用代码以及污染物排放口、排放污染物种类等基本信息；</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（二）排污单位的污染物排放数据（包括污染物排放量以及大气污染物、水污染物的浓度值等数据）；</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（三）排污单位环境违法和受行政处罚情况；</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（四）对税务机关提请复核的纳税人的纳税申报数据资料异常或者纳税人未按照规定期限办理纳税申报的复核意见；</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（五）与税务机关商定交送的其他信息。</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39"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lastRenderedPageBreak/>
              <w:t>第十六条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hint="eastAsia"/>
                <w:color w:val="4A4A4A"/>
                <w:kern w:val="0"/>
                <w:sz w:val="24"/>
                <w:szCs w:val="24"/>
              </w:rPr>
            </w:pPr>
            <w:r w:rsidRPr="00FF2FC6">
              <w:rPr>
                <w:rFonts w:ascii="inherit" w:eastAsia="宋体" w:hAnsi="inherit" w:cs="宋体"/>
                <w:color w:val="4A4A4A"/>
                <w:kern w:val="0"/>
                <w:sz w:val="24"/>
                <w:szCs w:val="24"/>
              </w:rPr>
              <w:t xml:space="preserve">　　税务机关应当通过涉税信息共享平台向环境保护主管部门交送下列环境保护税涉税信息：</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（一）纳税人基本信息；</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（二）纳税申报信息；</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（三）税款入库、减免税额、欠缴税款以及风险疑点等信息；</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（四）纳税人涉税违法和受行政处罚情况；</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（五）纳税人的纳税申报数据资料异常或者纳税人未按照规定期限办理纳税申报的信息；</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（六）与环境保护主管部门商定交送的其他信息。</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0"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6075"/>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第十七条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hint="eastAsia"/>
                <w:color w:val="4A4A4A"/>
                <w:kern w:val="0"/>
                <w:sz w:val="24"/>
                <w:szCs w:val="24"/>
              </w:rPr>
            </w:pPr>
            <w:r w:rsidRPr="00FF2FC6">
              <w:rPr>
                <w:rFonts w:ascii="inherit" w:eastAsia="宋体" w:hAnsi="inherit" w:cs="宋体"/>
                <w:color w:val="4A4A4A"/>
                <w:kern w:val="0"/>
                <w:sz w:val="24"/>
                <w:szCs w:val="24"/>
              </w:rPr>
              <w:t xml:space="preserve">　　环境保护税法第十七条所称应税污染物排放地是指：</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（一）应税大气污染物、水污染物排放口所在地；</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（二）应税固体废物产生地；</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（三）应税噪声产生地。</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1"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第十八条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纳税人跨区域排放应税污染物，税务机关对税收征收管辖有争议的，由争议各方按照有利于征收管理的原则协商解决；不能协商一致的，报请共同的上级税务机关决定。</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2"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第十九条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hint="eastAsia"/>
                <w:color w:val="4A4A4A"/>
                <w:kern w:val="0"/>
                <w:sz w:val="24"/>
                <w:szCs w:val="24"/>
              </w:rPr>
            </w:pPr>
            <w:r w:rsidRPr="00FF2FC6">
              <w:rPr>
                <w:rFonts w:ascii="inherit" w:eastAsia="宋体" w:hAnsi="inherit" w:cs="宋体"/>
                <w:color w:val="4A4A4A"/>
                <w:kern w:val="0"/>
                <w:sz w:val="24"/>
                <w:szCs w:val="24"/>
              </w:rPr>
              <w:t xml:space="preserve">　　税务机关应当依据环境保护主管部门交送的排污单位信息进行纳税人识别。</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在环境保护主管部门交送的排污单位信息中没有对应信息的纳税人，由税务机关在纳税人首次办理环境保护税纳税申报时进行纳税人识别，并将相关信息交送环境保护主管部门。</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3"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095"/>
        <w:gridCol w:w="730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第二十条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环境保护主管部门发现纳税人申报的应税污染物排放信息或者适用的排污系数、物料衡算方法有误的，应当通知税务机关处理。</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4"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335"/>
        <w:gridCol w:w="706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第二十一条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纳税人申报的污染物排放数据与环境保护主管部门交送的相关数据不一致的，按照环境保护主管部门交送的数据确定应税污染物的计税依据。</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lastRenderedPageBreak/>
        <w:pict>
          <v:rect id="_x0000_i1045"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335"/>
        <w:gridCol w:w="706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第二十二条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hint="eastAsia"/>
                <w:color w:val="4A4A4A"/>
                <w:kern w:val="0"/>
                <w:sz w:val="24"/>
                <w:szCs w:val="24"/>
              </w:rPr>
            </w:pPr>
            <w:r w:rsidRPr="00FF2FC6">
              <w:rPr>
                <w:rFonts w:ascii="inherit" w:eastAsia="宋体" w:hAnsi="inherit" w:cs="宋体"/>
                <w:color w:val="4A4A4A"/>
                <w:kern w:val="0"/>
                <w:sz w:val="24"/>
                <w:szCs w:val="24"/>
              </w:rPr>
              <w:t xml:space="preserve">　　环境保护税法第二十条第二款所称纳税人的纳税申报数据资料异常，包括但不限于下列情形：</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（一）纳税人当期申报的应税污染物排放量与上一年同期相比明显偏低，且无正当理由；</w:t>
            </w:r>
          </w:p>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（二）纳税人单位产品污染物排放量与同类型纳税人相比明显偏低，且无正当理由。</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6"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335"/>
        <w:gridCol w:w="706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第二十三条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税务机关、环境保护主管部门应当无偿为纳税人提供与缴纳环境保护</w:t>
            </w:r>
            <w:proofErr w:type="gramStart"/>
            <w:r w:rsidRPr="00FF2FC6">
              <w:rPr>
                <w:rFonts w:ascii="inherit" w:eastAsia="宋体" w:hAnsi="inherit" w:cs="宋体"/>
                <w:color w:val="4A4A4A"/>
                <w:kern w:val="0"/>
                <w:sz w:val="24"/>
                <w:szCs w:val="24"/>
              </w:rPr>
              <w:t>税有关</w:t>
            </w:r>
            <w:proofErr w:type="gramEnd"/>
            <w:r w:rsidRPr="00FF2FC6">
              <w:rPr>
                <w:rFonts w:ascii="inherit" w:eastAsia="宋体" w:hAnsi="inherit" w:cs="宋体"/>
                <w:color w:val="4A4A4A"/>
                <w:kern w:val="0"/>
                <w:sz w:val="24"/>
                <w:szCs w:val="24"/>
              </w:rPr>
              <w:t>的辅导、培训和咨询服务。</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7"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335"/>
        <w:gridCol w:w="706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第二十四条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税务机关依法实施环境保护税的税务检查，环境保护主管部门予以配合。</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8" style="width:0;height:.75pt" o:hralign="center" o:hrstd="t" o:hrnoshade="t" o:hr="t" fillcolor="#ddd" stroked="f"/>
        </w:pict>
      </w:r>
    </w:p>
    <w:tbl>
      <w:tblPr>
        <w:tblW w:w="0" w:type="auto"/>
        <w:tblCellSpacing w:w="15" w:type="dxa"/>
        <w:tblCellMar>
          <w:top w:w="15" w:type="dxa"/>
          <w:left w:w="15" w:type="dxa"/>
          <w:bottom w:w="15" w:type="dxa"/>
          <w:right w:w="15" w:type="dxa"/>
        </w:tblCellMar>
        <w:tblLook w:val="04A0"/>
      </w:tblPr>
      <w:tblGrid>
        <w:gridCol w:w="1335"/>
        <w:gridCol w:w="706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第二十五条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纳税人应当按照税收征收管理的有关规定，妥善保管应税污染物监测和管理的有关资料。</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49" style="width:0;height:.75pt" o:hralign="center" o:hrstd="t" o:hrnoshade="t" o:hr="t" fillcolor="#ddd" stroked="f"/>
        </w:pict>
      </w:r>
    </w:p>
    <w:p w:rsidR="00FF2FC6" w:rsidRPr="00FF2FC6" w:rsidRDefault="00FF2FC6" w:rsidP="00FF2FC6">
      <w:pPr>
        <w:widowControl/>
        <w:shd w:val="clear" w:color="auto" w:fill="FFFFFF"/>
        <w:wordWrap w:val="0"/>
        <w:spacing w:after="225"/>
        <w:jc w:val="center"/>
        <w:rPr>
          <w:rFonts w:ascii="inherit" w:eastAsia="宋体" w:hAnsi="inherit" w:cs="宋体"/>
          <w:color w:val="4A4A4A"/>
          <w:kern w:val="0"/>
          <w:sz w:val="25"/>
          <w:szCs w:val="25"/>
        </w:rPr>
      </w:pPr>
      <w:r w:rsidRPr="00FF2FC6">
        <w:rPr>
          <w:rFonts w:ascii="inherit" w:eastAsia="宋体" w:hAnsi="inherit" w:cs="宋体"/>
          <w:color w:val="4A4A4A"/>
          <w:kern w:val="0"/>
          <w:sz w:val="25"/>
          <w:szCs w:val="25"/>
        </w:rPr>
        <w:t>第五章　附则</w:t>
      </w:r>
    </w:p>
    <w:tbl>
      <w:tblPr>
        <w:tblW w:w="0" w:type="auto"/>
        <w:tblCellSpacing w:w="15" w:type="dxa"/>
        <w:tblCellMar>
          <w:top w:w="15" w:type="dxa"/>
          <w:left w:w="15" w:type="dxa"/>
          <w:bottom w:w="15" w:type="dxa"/>
          <w:right w:w="15" w:type="dxa"/>
        </w:tblCellMar>
        <w:tblLook w:val="04A0"/>
      </w:tblPr>
      <w:tblGrid>
        <w:gridCol w:w="1335"/>
        <w:gridCol w:w="7061"/>
      </w:tblGrid>
      <w:tr w:rsidR="00FF2FC6" w:rsidRPr="00FF2FC6" w:rsidTr="00FF2FC6">
        <w:trPr>
          <w:tblCellSpacing w:w="15" w:type="dxa"/>
        </w:trPr>
        <w:tc>
          <w:tcPr>
            <w:tcW w:w="0" w:type="auto"/>
            <w:noWrap/>
            <w:hideMark/>
          </w:tcPr>
          <w:p w:rsidR="00FF2FC6" w:rsidRPr="00FF2FC6" w:rsidRDefault="00FF2FC6" w:rsidP="00FF2FC6">
            <w:pPr>
              <w:widowControl/>
              <w:wordWrap w:val="0"/>
              <w:spacing w:before="225" w:after="225"/>
              <w:jc w:val="left"/>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第二十六条</w:t>
            </w:r>
            <w:r w:rsidRPr="00FF2FC6">
              <w:rPr>
                <w:rFonts w:ascii="inherit" w:eastAsia="宋体" w:hAnsi="inherit" w:cs="宋体"/>
                <w:color w:val="4A4A4A"/>
                <w:kern w:val="0"/>
                <w:sz w:val="24"/>
                <w:szCs w:val="24"/>
              </w:rPr>
              <w:t> </w:t>
            </w:r>
          </w:p>
        </w:tc>
        <w:tc>
          <w:tcPr>
            <w:tcW w:w="0" w:type="auto"/>
            <w:hideMark/>
          </w:tcPr>
          <w:p w:rsidR="00FF2FC6" w:rsidRPr="00FF2FC6" w:rsidRDefault="00FF2FC6" w:rsidP="00FF2FC6">
            <w:pPr>
              <w:widowControl/>
              <w:wordWrap w:val="0"/>
              <w:spacing w:after="150"/>
              <w:rPr>
                <w:rFonts w:ascii="inherit" w:eastAsia="宋体" w:hAnsi="inherit" w:cs="宋体"/>
                <w:color w:val="4A4A4A"/>
                <w:kern w:val="0"/>
                <w:sz w:val="24"/>
                <w:szCs w:val="24"/>
              </w:rPr>
            </w:pPr>
            <w:r w:rsidRPr="00FF2FC6">
              <w:rPr>
                <w:rFonts w:ascii="inherit" w:eastAsia="宋体" w:hAnsi="inherit" w:cs="宋体"/>
                <w:color w:val="4A4A4A"/>
                <w:kern w:val="0"/>
                <w:sz w:val="24"/>
                <w:szCs w:val="24"/>
              </w:rPr>
              <w:t xml:space="preserve">　　本条例自</w:t>
            </w:r>
            <w:r w:rsidRPr="00FF2FC6">
              <w:rPr>
                <w:rFonts w:ascii="inherit" w:eastAsia="宋体" w:hAnsi="inherit" w:cs="宋体"/>
                <w:color w:val="4A4A4A"/>
                <w:kern w:val="0"/>
                <w:sz w:val="24"/>
                <w:szCs w:val="24"/>
              </w:rPr>
              <w:t>2018</w:t>
            </w:r>
            <w:r w:rsidRPr="00FF2FC6">
              <w:rPr>
                <w:rFonts w:ascii="inherit" w:eastAsia="宋体" w:hAnsi="inherit" w:cs="宋体"/>
                <w:color w:val="4A4A4A"/>
                <w:kern w:val="0"/>
                <w:sz w:val="24"/>
                <w:szCs w:val="24"/>
              </w:rPr>
              <w:t>年</w:t>
            </w:r>
            <w:r w:rsidRPr="00FF2FC6">
              <w:rPr>
                <w:rFonts w:ascii="inherit" w:eastAsia="宋体" w:hAnsi="inherit" w:cs="宋体"/>
                <w:color w:val="4A4A4A"/>
                <w:kern w:val="0"/>
                <w:sz w:val="24"/>
                <w:szCs w:val="24"/>
              </w:rPr>
              <w:t>1</w:t>
            </w:r>
            <w:r w:rsidRPr="00FF2FC6">
              <w:rPr>
                <w:rFonts w:ascii="inherit" w:eastAsia="宋体" w:hAnsi="inherit" w:cs="宋体"/>
                <w:color w:val="4A4A4A"/>
                <w:kern w:val="0"/>
                <w:sz w:val="24"/>
                <w:szCs w:val="24"/>
              </w:rPr>
              <w:t>月</w:t>
            </w:r>
            <w:r w:rsidRPr="00FF2FC6">
              <w:rPr>
                <w:rFonts w:ascii="inherit" w:eastAsia="宋体" w:hAnsi="inherit" w:cs="宋体"/>
                <w:color w:val="4A4A4A"/>
                <w:kern w:val="0"/>
                <w:sz w:val="24"/>
                <w:szCs w:val="24"/>
              </w:rPr>
              <w:t>1</w:t>
            </w:r>
            <w:r w:rsidRPr="00FF2FC6">
              <w:rPr>
                <w:rFonts w:ascii="inherit" w:eastAsia="宋体" w:hAnsi="inherit" w:cs="宋体"/>
                <w:color w:val="4A4A4A"/>
                <w:kern w:val="0"/>
                <w:sz w:val="24"/>
                <w:szCs w:val="24"/>
              </w:rPr>
              <w:t>日起施行。</w:t>
            </w:r>
            <w:r w:rsidRPr="00FF2FC6">
              <w:rPr>
                <w:rFonts w:ascii="inherit" w:eastAsia="宋体" w:hAnsi="inherit" w:cs="宋体"/>
                <w:color w:val="4A4A4A"/>
                <w:kern w:val="0"/>
                <w:sz w:val="24"/>
                <w:szCs w:val="24"/>
              </w:rPr>
              <w:t>2003</w:t>
            </w:r>
            <w:r w:rsidRPr="00FF2FC6">
              <w:rPr>
                <w:rFonts w:ascii="inherit" w:eastAsia="宋体" w:hAnsi="inherit" w:cs="宋体"/>
                <w:color w:val="4A4A4A"/>
                <w:kern w:val="0"/>
                <w:sz w:val="24"/>
                <w:szCs w:val="24"/>
              </w:rPr>
              <w:t>年</w:t>
            </w:r>
            <w:r w:rsidRPr="00FF2FC6">
              <w:rPr>
                <w:rFonts w:ascii="inherit" w:eastAsia="宋体" w:hAnsi="inherit" w:cs="宋体"/>
                <w:color w:val="4A4A4A"/>
                <w:kern w:val="0"/>
                <w:sz w:val="24"/>
                <w:szCs w:val="24"/>
              </w:rPr>
              <w:t>1</w:t>
            </w:r>
            <w:r w:rsidRPr="00FF2FC6">
              <w:rPr>
                <w:rFonts w:ascii="inherit" w:eastAsia="宋体" w:hAnsi="inherit" w:cs="宋体"/>
                <w:color w:val="4A4A4A"/>
                <w:kern w:val="0"/>
                <w:sz w:val="24"/>
                <w:szCs w:val="24"/>
              </w:rPr>
              <w:t>月</w:t>
            </w:r>
            <w:r w:rsidRPr="00FF2FC6">
              <w:rPr>
                <w:rFonts w:ascii="inherit" w:eastAsia="宋体" w:hAnsi="inherit" w:cs="宋体"/>
                <w:color w:val="4A4A4A"/>
                <w:kern w:val="0"/>
                <w:sz w:val="24"/>
                <w:szCs w:val="24"/>
              </w:rPr>
              <w:t>2</w:t>
            </w:r>
            <w:r w:rsidRPr="00FF2FC6">
              <w:rPr>
                <w:rFonts w:ascii="inherit" w:eastAsia="宋体" w:hAnsi="inherit" w:cs="宋体"/>
                <w:color w:val="4A4A4A"/>
                <w:kern w:val="0"/>
                <w:sz w:val="24"/>
                <w:szCs w:val="24"/>
              </w:rPr>
              <w:t>日国务院公布的《排污费征收使用管理条例》同时废止。</w:t>
            </w:r>
          </w:p>
        </w:tc>
      </w:tr>
    </w:tbl>
    <w:p w:rsidR="00FF2FC6" w:rsidRPr="00FF2FC6" w:rsidRDefault="00FF2FC6" w:rsidP="00FF2FC6">
      <w:pPr>
        <w:widowControl/>
        <w:shd w:val="clear" w:color="auto" w:fill="FFFFFF"/>
        <w:wordWrap w:val="0"/>
        <w:spacing w:before="105" w:after="105"/>
        <w:jc w:val="left"/>
        <w:rPr>
          <w:rFonts w:ascii="inherit" w:eastAsia="宋体" w:hAnsi="inherit" w:cs="宋体"/>
          <w:color w:val="4A4A4A"/>
          <w:kern w:val="0"/>
          <w:szCs w:val="21"/>
        </w:rPr>
      </w:pPr>
      <w:r w:rsidRPr="00FF2FC6">
        <w:rPr>
          <w:rFonts w:ascii="inherit" w:eastAsia="宋体" w:hAnsi="inherit" w:cs="宋体"/>
          <w:color w:val="4A4A4A"/>
          <w:kern w:val="0"/>
          <w:szCs w:val="21"/>
        </w:rPr>
        <w:pict>
          <v:rect id="_x0000_i1050" style="width:0;height:.75pt" o:hralign="center" o:hrstd="t" o:hrnoshade="t" o:hr="t" fillcolor="#ddd" stroked="f"/>
        </w:pict>
      </w:r>
    </w:p>
    <w:p w:rsidR="006F7163" w:rsidRDefault="006F7163">
      <w:pPr>
        <w:rPr>
          <w:rFonts w:hint="eastAsia"/>
        </w:rPr>
      </w:pPr>
    </w:p>
    <w:sectPr w:rsidR="006F7163" w:rsidSect="006F716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325" w:rsidRDefault="00BD5325" w:rsidP="00FF2FC6">
      <w:r>
        <w:separator/>
      </w:r>
    </w:p>
  </w:endnote>
  <w:endnote w:type="continuationSeparator" w:id="0">
    <w:p w:rsidR="00BD5325" w:rsidRDefault="00BD5325" w:rsidP="00FF2F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325" w:rsidRDefault="00BD5325" w:rsidP="00FF2FC6">
      <w:r>
        <w:separator/>
      </w:r>
    </w:p>
  </w:footnote>
  <w:footnote w:type="continuationSeparator" w:id="0">
    <w:p w:rsidR="00BD5325" w:rsidRDefault="00BD5325" w:rsidP="00FF2FC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515BC"/>
    <w:rsid w:val="000515BC"/>
    <w:rsid w:val="000E4E7D"/>
    <w:rsid w:val="006F7163"/>
    <w:rsid w:val="00BD5325"/>
    <w:rsid w:val="00FF2F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16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aligncenter1">
    <w:name w:val="textaligncenter1"/>
    <w:basedOn w:val="a"/>
    <w:rsid w:val="000515BC"/>
    <w:pPr>
      <w:widowControl/>
      <w:spacing w:after="225"/>
      <w:jc w:val="center"/>
    </w:pPr>
    <w:rPr>
      <w:rFonts w:ascii="inherit" w:eastAsia="宋体" w:hAnsi="inherit" w:cs="宋体"/>
      <w:kern w:val="0"/>
      <w:sz w:val="24"/>
      <w:szCs w:val="24"/>
    </w:rPr>
  </w:style>
  <w:style w:type="paragraph" w:styleId="a3">
    <w:name w:val="header"/>
    <w:basedOn w:val="a"/>
    <w:link w:val="Char"/>
    <w:uiPriority w:val="99"/>
    <w:semiHidden/>
    <w:unhideWhenUsed/>
    <w:rsid w:val="00FF2F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F2FC6"/>
    <w:rPr>
      <w:sz w:val="18"/>
      <w:szCs w:val="18"/>
    </w:rPr>
  </w:style>
  <w:style w:type="paragraph" w:styleId="a4">
    <w:name w:val="footer"/>
    <w:basedOn w:val="a"/>
    <w:link w:val="Char0"/>
    <w:uiPriority w:val="99"/>
    <w:semiHidden/>
    <w:unhideWhenUsed/>
    <w:rsid w:val="00FF2FC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F2FC6"/>
    <w:rPr>
      <w:sz w:val="18"/>
      <w:szCs w:val="18"/>
    </w:rPr>
  </w:style>
</w:styles>
</file>

<file path=word/webSettings.xml><?xml version="1.0" encoding="utf-8"?>
<w:webSettings xmlns:r="http://schemas.openxmlformats.org/officeDocument/2006/relationships" xmlns:w="http://schemas.openxmlformats.org/wordprocessingml/2006/main">
  <w:divs>
    <w:div w:id="287900923">
      <w:bodyDiv w:val="1"/>
      <w:marLeft w:val="0"/>
      <w:marRight w:val="0"/>
      <w:marTop w:val="0"/>
      <w:marBottom w:val="0"/>
      <w:divBdr>
        <w:top w:val="none" w:sz="0" w:space="0" w:color="auto"/>
        <w:left w:val="none" w:sz="0" w:space="0" w:color="auto"/>
        <w:bottom w:val="none" w:sz="0" w:space="0" w:color="auto"/>
        <w:right w:val="none" w:sz="0" w:space="0" w:color="auto"/>
      </w:divBdr>
      <w:divsChild>
        <w:div w:id="1867332022">
          <w:marLeft w:val="0"/>
          <w:marRight w:val="0"/>
          <w:marTop w:val="0"/>
          <w:marBottom w:val="0"/>
          <w:divBdr>
            <w:top w:val="none" w:sz="0" w:space="0" w:color="auto"/>
            <w:left w:val="none" w:sz="0" w:space="0" w:color="auto"/>
            <w:bottom w:val="none" w:sz="0" w:space="0" w:color="auto"/>
            <w:right w:val="none" w:sz="0" w:space="0" w:color="auto"/>
          </w:divBdr>
          <w:divsChild>
            <w:div w:id="1399743631">
              <w:marLeft w:val="0"/>
              <w:marRight w:val="0"/>
              <w:marTop w:val="0"/>
              <w:marBottom w:val="0"/>
              <w:divBdr>
                <w:top w:val="none" w:sz="0" w:space="0" w:color="auto"/>
                <w:left w:val="none" w:sz="0" w:space="0" w:color="auto"/>
                <w:bottom w:val="none" w:sz="0" w:space="0" w:color="auto"/>
                <w:right w:val="none" w:sz="0" w:space="0" w:color="auto"/>
              </w:divBdr>
              <w:divsChild>
                <w:div w:id="1136918940">
                  <w:marLeft w:val="0"/>
                  <w:marRight w:val="0"/>
                  <w:marTop w:val="0"/>
                  <w:marBottom w:val="0"/>
                  <w:divBdr>
                    <w:top w:val="none" w:sz="0" w:space="0" w:color="auto"/>
                    <w:left w:val="none" w:sz="0" w:space="0" w:color="auto"/>
                    <w:bottom w:val="none" w:sz="0" w:space="0" w:color="auto"/>
                    <w:right w:val="none" w:sz="0" w:space="0" w:color="auto"/>
                  </w:divBdr>
                  <w:divsChild>
                    <w:div w:id="367528245">
                      <w:marLeft w:val="0"/>
                      <w:marRight w:val="0"/>
                      <w:marTop w:val="0"/>
                      <w:marBottom w:val="0"/>
                      <w:divBdr>
                        <w:top w:val="single" w:sz="18" w:space="0" w:color="FFFFFF"/>
                        <w:left w:val="single" w:sz="18" w:space="0" w:color="FFFFFF"/>
                        <w:bottom w:val="single" w:sz="18" w:space="0" w:color="FFFFFF"/>
                        <w:right w:val="single" w:sz="18" w:space="0" w:color="FFFFFF"/>
                      </w:divBdr>
                      <w:divsChild>
                        <w:div w:id="1213807807">
                          <w:marLeft w:val="0"/>
                          <w:marRight w:val="0"/>
                          <w:marTop w:val="0"/>
                          <w:marBottom w:val="0"/>
                          <w:divBdr>
                            <w:top w:val="none" w:sz="0" w:space="0" w:color="auto"/>
                            <w:left w:val="none" w:sz="0" w:space="0" w:color="auto"/>
                            <w:bottom w:val="none" w:sz="0" w:space="0" w:color="auto"/>
                            <w:right w:val="none" w:sz="0" w:space="0" w:color="auto"/>
                          </w:divBdr>
                          <w:divsChild>
                            <w:div w:id="2125034975">
                              <w:marLeft w:val="0"/>
                              <w:marRight w:val="0"/>
                              <w:marTop w:val="150"/>
                              <w:marBottom w:val="150"/>
                              <w:divBdr>
                                <w:top w:val="none" w:sz="0" w:space="0" w:color="auto"/>
                                <w:left w:val="none" w:sz="0" w:space="0" w:color="auto"/>
                                <w:bottom w:val="none" w:sz="0" w:space="0" w:color="auto"/>
                                <w:right w:val="none" w:sz="0" w:space="0" w:color="auto"/>
                              </w:divBdr>
                            </w:div>
                            <w:div w:id="54317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7647">
      <w:bodyDiv w:val="1"/>
      <w:marLeft w:val="0"/>
      <w:marRight w:val="0"/>
      <w:marTop w:val="0"/>
      <w:marBottom w:val="0"/>
      <w:divBdr>
        <w:top w:val="none" w:sz="0" w:space="0" w:color="auto"/>
        <w:left w:val="none" w:sz="0" w:space="0" w:color="auto"/>
        <w:bottom w:val="none" w:sz="0" w:space="0" w:color="auto"/>
        <w:right w:val="none" w:sz="0" w:space="0" w:color="auto"/>
      </w:divBdr>
      <w:divsChild>
        <w:div w:id="1495296069">
          <w:marLeft w:val="0"/>
          <w:marRight w:val="0"/>
          <w:marTop w:val="0"/>
          <w:marBottom w:val="0"/>
          <w:divBdr>
            <w:top w:val="none" w:sz="0" w:space="0" w:color="auto"/>
            <w:left w:val="none" w:sz="0" w:space="0" w:color="auto"/>
            <w:bottom w:val="none" w:sz="0" w:space="0" w:color="auto"/>
            <w:right w:val="none" w:sz="0" w:space="0" w:color="auto"/>
          </w:divBdr>
          <w:divsChild>
            <w:div w:id="1140803461">
              <w:marLeft w:val="0"/>
              <w:marRight w:val="0"/>
              <w:marTop w:val="0"/>
              <w:marBottom w:val="0"/>
              <w:divBdr>
                <w:top w:val="none" w:sz="0" w:space="0" w:color="auto"/>
                <w:left w:val="none" w:sz="0" w:space="0" w:color="auto"/>
                <w:bottom w:val="none" w:sz="0" w:space="0" w:color="auto"/>
                <w:right w:val="none" w:sz="0" w:space="0" w:color="auto"/>
              </w:divBdr>
              <w:divsChild>
                <w:div w:id="312148083">
                  <w:marLeft w:val="0"/>
                  <w:marRight w:val="0"/>
                  <w:marTop w:val="0"/>
                  <w:marBottom w:val="0"/>
                  <w:divBdr>
                    <w:top w:val="none" w:sz="0" w:space="0" w:color="auto"/>
                    <w:left w:val="none" w:sz="0" w:space="0" w:color="auto"/>
                    <w:bottom w:val="none" w:sz="0" w:space="0" w:color="auto"/>
                    <w:right w:val="none" w:sz="0" w:space="0" w:color="auto"/>
                  </w:divBdr>
                  <w:divsChild>
                    <w:div w:id="2125299244">
                      <w:marLeft w:val="0"/>
                      <w:marRight w:val="0"/>
                      <w:marTop w:val="0"/>
                      <w:marBottom w:val="0"/>
                      <w:divBdr>
                        <w:top w:val="single" w:sz="18" w:space="0" w:color="FFFFFF"/>
                        <w:left w:val="single" w:sz="18" w:space="0" w:color="FFFFFF"/>
                        <w:bottom w:val="single" w:sz="18" w:space="0" w:color="FFFFFF"/>
                        <w:right w:val="single" w:sz="18" w:space="0" w:color="FFFFFF"/>
                      </w:divBdr>
                      <w:divsChild>
                        <w:div w:id="696274622">
                          <w:marLeft w:val="0"/>
                          <w:marRight w:val="0"/>
                          <w:marTop w:val="0"/>
                          <w:marBottom w:val="0"/>
                          <w:divBdr>
                            <w:top w:val="none" w:sz="0" w:space="0" w:color="auto"/>
                            <w:left w:val="none" w:sz="0" w:space="0" w:color="auto"/>
                            <w:bottom w:val="none" w:sz="0" w:space="0" w:color="auto"/>
                            <w:right w:val="none" w:sz="0" w:space="0" w:color="auto"/>
                          </w:divBdr>
                          <w:divsChild>
                            <w:div w:id="46027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868712">
      <w:bodyDiv w:val="1"/>
      <w:marLeft w:val="0"/>
      <w:marRight w:val="0"/>
      <w:marTop w:val="0"/>
      <w:marBottom w:val="0"/>
      <w:divBdr>
        <w:top w:val="none" w:sz="0" w:space="0" w:color="auto"/>
        <w:left w:val="none" w:sz="0" w:space="0" w:color="auto"/>
        <w:bottom w:val="none" w:sz="0" w:space="0" w:color="auto"/>
        <w:right w:val="none" w:sz="0" w:space="0" w:color="auto"/>
      </w:divBdr>
      <w:divsChild>
        <w:div w:id="616373244">
          <w:marLeft w:val="0"/>
          <w:marRight w:val="0"/>
          <w:marTop w:val="0"/>
          <w:marBottom w:val="0"/>
          <w:divBdr>
            <w:top w:val="none" w:sz="0" w:space="0" w:color="auto"/>
            <w:left w:val="none" w:sz="0" w:space="0" w:color="auto"/>
            <w:bottom w:val="none" w:sz="0" w:space="0" w:color="auto"/>
            <w:right w:val="none" w:sz="0" w:space="0" w:color="auto"/>
          </w:divBdr>
          <w:divsChild>
            <w:div w:id="557399806">
              <w:marLeft w:val="0"/>
              <w:marRight w:val="0"/>
              <w:marTop w:val="0"/>
              <w:marBottom w:val="0"/>
              <w:divBdr>
                <w:top w:val="none" w:sz="0" w:space="0" w:color="auto"/>
                <w:left w:val="none" w:sz="0" w:space="0" w:color="auto"/>
                <w:bottom w:val="none" w:sz="0" w:space="0" w:color="auto"/>
                <w:right w:val="none" w:sz="0" w:space="0" w:color="auto"/>
              </w:divBdr>
              <w:divsChild>
                <w:div w:id="1775711173">
                  <w:marLeft w:val="0"/>
                  <w:marRight w:val="0"/>
                  <w:marTop w:val="0"/>
                  <w:marBottom w:val="0"/>
                  <w:divBdr>
                    <w:top w:val="none" w:sz="0" w:space="0" w:color="auto"/>
                    <w:left w:val="none" w:sz="0" w:space="0" w:color="auto"/>
                    <w:bottom w:val="none" w:sz="0" w:space="0" w:color="auto"/>
                    <w:right w:val="none" w:sz="0" w:space="0" w:color="auto"/>
                  </w:divBdr>
                  <w:divsChild>
                    <w:div w:id="1775201834">
                      <w:marLeft w:val="0"/>
                      <w:marRight w:val="0"/>
                      <w:marTop w:val="0"/>
                      <w:marBottom w:val="0"/>
                      <w:divBdr>
                        <w:top w:val="single" w:sz="18" w:space="0" w:color="FFFFFF"/>
                        <w:left w:val="single" w:sz="18" w:space="0" w:color="FFFFFF"/>
                        <w:bottom w:val="single" w:sz="18" w:space="0" w:color="FFFFFF"/>
                        <w:right w:val="single" w:sz="18" w:space="0" w:color="FFFFFF"/>
                      </w:divBdr>
                      <w:divsChild>
                        <w:div w:id="154535339">
                          <w:marLeft w:val="0"/>
                          <w:marRight w:val="0"/>
                          <w:marTop w:val="0"/>
                          <w:marBottom w:val="0"/>
                          <w:divBdr>
                            <w:top w:val="none" w:sz="0" w:space="0" w:color="auto"/>
                            <w:left w:val="none" w:sz="0" w:space="0" w:color="auto"/>
                            <w:bottom w:val="none" w:sz="0" w:space="0" w:color="auto"/>
                            <w:right w:val="none" w:sz="0" w:space="0" w:color="auto"/>
                          </w:divBdr>
                          <w:divsChild>
                            <w:div w:id="20339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454</Words>
  <Characters>2589</Characters>
  <Application>Microsoft Office Word</Application>
  <DocSecurity>0</DocSecurity>
  <Lines>21</Lines>
  <Paragraphs>6</Paragraphs>
  <ScaleCrop>false</ScaleCrop>
  <Company>Microsoft</Company>
  <LinksUpToDate>false</LinksUpToDate>
  <CharactersWithSpaces>3037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归浩</dc:creator>
  <cp:keywords/>
  <dc:description/>
  <cp:lastModifiedBy>归浩</cp:lastModifiedBy>
  <cp:revision>2</cp:revision>
  <dcterms:created xsi:type="dcterms:W3CDTF">2018-05-03T07:41:00Z</dcterms:created>
  <dcterms:modified xsi:type="dcterms:W3CDTF">2018-05-03T07:50:00Z</dcterms:modified>
</cp:coreProperties>
</file>