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color w:val="auto"/>
          <w:spacing w:val="0"/>
          <w:sz w:val="32"/>
          <w:szCs w:val="32"/>
          <w:lang w:val="en-US" w:eastAsia="zh-CN"/>
        </w:rPr>
      </w:pPr>
      <w:r>
        <w:rPr>
          <w:rFonts w:hint="eastAsia" w:ascii="Times New Roman" w:hAnsi="Times New Roman" w:eastAsia="方正小标宋简体" w:cs="Times New Roman"/>
          <w:color w:val="auto"/>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color w:val="auto"/>
          <w:spacing w:val="0"/>
          <w:sz w:val="44"/>
          <w:szCs w:val="44"/>
          <w:lang w:eastAsia="zh-CN"/>
        </w:rPr>
      </w:pPr>
      <w:r>
        <w:rPr>
          <w:rFonts w:hint="default" w:ascii="Times New Roman" w:hAnsi="Times New Roman" w:eastAsia="方正小标宋简体" w:cs="Times New Roman"/>
          <w:color w:val="auto"/>
          <w:spacing w:val="0"/>
          <w:sz w:val="44"/>
          <w:szCs w:val="44"/>
        </w:rPr>
        <w:t>涉企轻微违法行为</w:t>
      </w:r>
      <w:r>
        <w:rPr>
          <w:rFonts w:hint="eastAsia" w:ascii="黑体" w:hAnsi="黑体" w:eastAsia="黑体" w:cs="黑体"/>
          <w:color w:val="auto"/>
          <w:spacing w:val="0"/>
          <w:sz w:val="44"/>
          <w:szCs w:val="44"/>
          <w:highlight w:val="none"/>
          <w:lang w:eastAsia="zh-CN"/>
        </w:rPr>
        <w:t>依法</w:t>
      </w:r>
      <w:r>
        <w:rPr>
          <w:rFonts w:hint="default" w:ascii="Times New Roman" w:hAnsi="Times New Roman" w:eastAsia="方正小标宋简体" w:cs="Times New Roman"/>
          <w:color w:val="auto"/>
          <w:spacing w:val="0"/>
          <w:sz w:val="44"/>
          <w:szCs w:val="44"/>
        </w:rPr>
        <w:t>不予行政处罚清单</w:t>
      </w:r>
      <w:r>
        <w:rPr>
          <w:rFonts w:hint="eastAsia" w:ascii="Times New Roman" w:hAnsi="Times New Roman" w:eastAsia="方正小标宋简体" w:cs="Times New Roman"/>
          <w:color w:val="auto"/>
          <w:spacing w:val="0"/>
          <w:sz w:val="44"/>
          <w:szCs w:val="44"/>
          <w:lang w:val="en-US" w:eastAsia="zh-CN"/>
        </w:rPr>
        <w:t>4</w:t>
      </w:r>
      <w:r>
        <w:rPr>
          <w:rFonts w:hint="default" w:ascii="Times New Roman" w:hAnsi="Times New Roman" w:eastAsia="方正小标宋简体" w:cs="Times New Roman"/>
          <w:color w:val="auto"/>
          <w:spacing w:val="0"/>
          <w:sz w:val="44"/>
          <w:szCs w:val="44"/>
          <w:lang w:val="en-US" w:eastAsia="zh-CN"/>
        </w:rPr>
        <w:t>.0版</w:t>
      </w:r>
      <w:r>
        <w:rPr>
          <w:rFonts w:hint="default" w:ascii="Times New Roman" w:hAnsi="Times New Roman" w:eastAsia="方正小标宋简体" w:cs="Times New Roman"/>
          <w:color w:val="auto"/>
          <w:spacing w:val="0"/>
          <w:sz w:val="44"/>
          <w:szCs w:val="44"/>
        </w:rPr>
        <w:t>（</w:t>
      </w:r>
      <w:r>
        <w:rPr>
          <w:rFonts w:hint="eastAsia" w:ascii="Times New Roman" w:hAnsi="Times New Roman" w:eastAsia="方正小标宋简体" w:cs="Times New Roman"/>
          <w:color w:val="auto"/>
          <w:spacing w:val="0"/>
          <w:sz w:val="44"/>
          <w:szCs w:val="44"/>
          <w:lang w:val="en-US" w:eastAsia="zh-CN"/>
        </w:rPr>
        <w:t>10项</w:t>
      </w:r>
      <w:r>
        <w:rPr>
          <w:rFonts w:hint="default" w:ascii="Times New Roman" w:hAnsi="Times New Roman" w:eastAsia="方正小标宋简体" w:cs="Times New Roman"/>
          <w:color w:val="auto"/>
          <w:spacing w:val="0"/>
          <w:sz w:val="44"/>
          <w:szCs w:val="44"/>
        </w:rPr>
        <w:t>）</w:t>
      </w:r>
    </w:p>
    <w:tbl>
      <w:tblPr>
        <w:tblStyle w:val="5"/>
        <w:tblW w:w="117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42"/>
        <w:gridCol w:w="2048"/>
        <w:gridCol w:w="2668"/>
        <w:gridCol w:w="5086"/>
        <w:gridCol w:w="1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542"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序号</w:t>
            </w:r>
          </w:p>
        </w:tc>
        <w:tc>
          <w:tcPr>
            <w:tcW w:w="2048"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违法行为</w:t>
            </w:r>
          </w:p>
        </w:tc>
        <w:tc>
          <w:tcPr>
            <w:tcW w:w="2668"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不予处罚条件</w:t>
            </w:r>
          </w:p>
        </w:tc>
        <w:tc>
          <w:tcPr>
            <w:tcW w:w="5086"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法 律 依 据</w:t>
            </w:r>
          </w:p>
        </w:tc>
        <w:tc>
          <w:tcPr>
            <w:tcW w:w="1420" w:type="dxa"/>
            <w:shd w:val="clear" w:color="auto" w:fill="auto"/>
            <w:noWrap/>
            <w:vAlign w:val="center"/>
          </w:tcPr>
          <w:p>
            <w:pPr>
              <w:overflowPunct w:val="0"/>
              <w:adjustRightInd w:val="0"/>
              <w:snapToGrid w:val="0"/>
              <w:jc w:val="center"/>
              <w:rPr>
                <w:rFonts w:hint="eastAsia" w:ascii="Times New Roman" w:hAnsi="Times New Roman" w:eastAsia="黑体"/>
                <w:color w:val="auto"/>
                <w:spacing w:val="-4"/>
                <w:sz w:val="24"/>
                <w:szCs w:val="24"/>
                <w:highlight w:val="none"/>
              </w:rPr>
            </w:pPr>
            <w:r>
              <w:rPr>
                <w:rFonts w:hint="eastAsia" w:ascii="Times New Roman" w:hAnsi="Times New Roman" w:eastAsia="黑体"/>
                <w:color w:val="auto"/>
                <w:spacing w:val="-4"/>
                <w:sz w:val="24"/>
                <w:szCs w:val="24"/>
                <w:highlight w:val="none"/>
              </w:rPr>
              <w:t>实施主体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11" w:hRule="atLeast"/>
          <w:jc w:val="center"/>
        </w:trPr>
        <w:tc>
          <w:tcPr>
            <w:tcW w:w="542" w:type="dxa"/>
            <w:noWrap w:val="0"/>
            <w:vAlign w:val="center"/>
          </w:tcPr>
          <w:p>
            <w:pPr>
              <w:overflowPunct w:val="0"/>
              <w:adjustRightInd w:val="0"/>
              <w:snapToGrid w:val="0"/>
              <w:jc w:val="center"/>
              <w:textAlignment w:val="center"/>
              <w:rPr>
                <w:rFonts w:hint="default" w:ascii="Times New Roman" w:hAnsi="Times New Roman" w:cs="Times New Roman"/>
                <w:color w:val="auto"/>
                <w:spacing w:val="-4"/>
                <w:kern w:val="0"/>
                <w:sz w:val="24"/>
                <w:szCs w:val="24"/>
                <w:highlight w:val="none"/>
              </w:rPr>
            </w:pPr>
            <w:r>
              <w:rPr>
                <w:rFonts w:hint="default" w:ascii="Times New Roman" w:hAnsi="Times New Roman" w:cs="Times New Roman"/>
                <w:color w:val="auto"/>
                <w:spacing w:val="-4"/>
                <w:kern w:val="0"/>
                <w:sz w:val="24"/>
                <w:szCs w:val="24"/>
                <w:highlight w:val="none"/>
              </w:rPr>
              <w:t>1</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建设单位未依法报批建设项目环境影响报告书、报告表，或者未按规定重新报批或者报请重新审核环境影响报告书、报告表，擅自开工建设</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未批先建项目处于设备安装阶段，未发现污染后果</w:t>
            </w:r>
            <w:r>
              <w:rPr>
                <w:rFonts w:hint="eastAsia" w:asciiTheme="minorEastAsia" w:hAnsiTheme="minorEastAsia" w:eastAsiaTheme="minorEastAsia" w:cstheme="minorEastAsia"/>
                <w:color w:val="auto"/>
                <w:spacing w:val="-4"/>
                <w:kern w:val="0"/>
                <w:sz w:val="24"/>
                <w:szCs w:val="24"/>
                <w:highlight w:val="none"/>
                <w:lang w:eastAsia="zh-CN"/>
              </w:rPr>
              <w:t>，</w:t>
            </w:r>
            <w:r>
              <w:rPr>
                <w:rFonts w:hint="eastAsia" w:asciiTheme="minorEastAsia" w:hAnsiTheme="minorEastAsia" w:eastAsiaTheme="minorEastAsia" w:cstheme="minorEastAsia"/>
                <w:color w:val="auto"/>
                <w:spacing w:val="-4"/>
                <w:kern w:val="0"/>
                <w:sz w:val="24"/>
                <w:szCs w:val="24"/>
                <w:highlight w:val="none"/>
              </w:rPr>
              <w:t>且主动停止建设或者恢复原状的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《中华人民共和国环境影响评价法》第三十一条</w:t>
            </w:r>
            <w:r>
              <w:rPr>
                <w:rFonts w:hint="eastAsia" w:asciiTheme="minorEastAsia" w:hAnsiTheme="minorEastAsia" w:eastAsiaTheme="minorEastAsia" w:cstheme="minorEastAsia"/>
                <w:color w:val="auto"/>
                <w:spacing w:val="0"/>
                <w:kern w:val="0"/>
                <w:sz w:val="24"/>
                <w:szCs w:val="24"/>
                <w:highlight w:val="none"/>
                <w:lang w:eastAsia="zh-CN"/>
              </w:rPr>
              <w:t>第一款</w:t>
            </w:r>
            <w:r>
              <w:rPr>
                <w:rFonts w:hint="eastAsia" w:asciiTheme="minorEastAsia" w:hAnsiTheme="minorEastAsia" w:eastAsiaTheme="minorEastAsia" w:cstheme="minorEastAsia"/>
                <w:color w:val="auto"/>
                <w:spacing w:val="-4"/>
                <w:kern w:val="0"/>
                <w:sz w:val="24"/>
                <w:szCs w:val="24"/>
                <w:highlight w:val="none"/>
              </w:rPr>
              <w:t xml:space="preserve">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苏州市生态环境局</w:t>
            </w:r>
            <w:r>
              <w:rPr>
                <w:rFonts w:hint="eastAsia" w:asciiTheme="minorEastAsia" w:hAnsiTheme="minorEastAsia" w:eastAsiaTheme="minorEastAsia" w:cstheme="minorEastAsia"/>
                <w:color w:val="auto"/>
                <w:spacing w:val="-4"/>
                <w:kern w:val="0"/>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苏州工业园区生态环境局</w:t>
            </w:r>
            <w:r>
              <w:rPr>
                <w:rFonts w:hint="eastAsia" w:asciiTheme="minorEastAsia" w:hAnsiTheme="minorEastAsia" w:eastAsiaTheme="minorEastAsia" w:cstheme="minorEastAsia"/>
                <w:color w:val="auto"/>
                <w:spacing w:val="-4"/>
                <w:kern w:val="0"/>
                <w:sz w:val="24"/>
                <w:szCs w:val="24"/>
                <w:highlight w:val="none"/>
              </w:rPr>
              <w:t>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noWrap w:val="0"/>
            <w:vAlign w:val="center"/>
          </w:tcPr>
          <w:p>
            <w:pPr>
              <w:overflowPunct w:val="0"/>
              <w:adjustRightInd w:val="0"/>
              <w:snapToGrid w:val="0"/>
              <w:jc w:val="center"/>
              <w:textAlignment w:val="center"/>
              <w:rPr>
                <w:rFonts w:hint="eastAsia" w:ascii="Times New Roman" w:hAnsi="Times New Roman" w:eastAsia="宋体" w:cs="Times New Roman"/>
                <w:color w:val="auto"/>
                <w:spacing w:val="-4"/>
                <w:kern w:val="0"/>
                <w:sz w:val="24"/>
                <w:szCs w:val="24"/>
                <w:highlight w:val="none"/>
                <w:lang w:val="en-US" w:eastAsia="zh-CN"/>
              </w:rPr>
            </w:pPr>
            <w:r>
              <w:rPr>
                <w:rFonts w:hint="eastAsia" w:ascii="Times New Roman" w:hAnsi="Times New Roman" w:cs="Times New Roman"/>
                <w:color w:val="auto"/>
                <w:spacing w:val="-4"/>
                <w:kern w:val="0"/>
                <w:sz w:val="24"/>
                <w:szCs w:val="24"/>
                <w:highlight w:val="none"/>
                <w:lang w:val="en-US" w:eastAsia="zh-CN"/>
              </w:rPr>
              <w:t>2</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建设单位在项目建设过程中未同时组织实施环境影响报告书、环境影响报告表及其审批部门审批决定中提出的环境保护对策措施</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0"/>
                <w:kern w:val="0"/>
                <w:sz w:val="24"/>
                <w:szCs w:val="24"/>
                <w:highlight w:val="none"/>
                <w:lang w:eastAsia="zh-CN"/>
              </w:rPr>
              <w:t>建设项目未实际产生污染物</w:t>
            </w:r>
            <w:r>
              <w:rPr>
                <w:rFonts w:hint="eastAsia" w:asciiTheme="minorEastAsia" w:hAnsiTheme="minorEastAsia" w:eastAsiaTheme="minorEastAsia" w:cstheme="minorEastAsia"/>
                <w:color w:val="0000FF"/>
                <w:spacing w:val="0"/>
                <w:kern w:val="0"/>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lang w:eastAsia="zh-CN"/>
              </w:rPr>
              <w:t>且违法行为在规定期限内改正完毕的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《建设项目环境保护管理条例》第二十二条</w:t>
            </w:r>
            <w:r>
              <w:rPr>
                <w:rFonts w:hint="eastAsia" w:asciiTheme="minorEastAsia" w:hAnsiTheme="minorEastAsia" w:eastAsiaTheme="minorEastAsia" w:cstheme="minorEastAsia"/>
                <w:color w:val="auto"/>
                <w:spacing w:val="0"/>
                <w:kern w:val="0"/>
                <w:sz w:val="24"/>
                <w:szCs w:val="24"/>
                <w:highlight w:val="none"/>
                <w:lang w:eastAsia="zh-CN"/>
              </w:rPr>
              <w:t>第二款</w:t>
            </w:r>
            <w:r>
              <w:rPr>
                <w:rFonts w:hint="eastAsia" w:asciiTheme="minorEastAsia" w:hAnsiTheme="minorEastAsia" w:eastAsiaTheme="minorEastAsia" w:cstheme="minorEastAsia"/>
                <w:color w:val="auto"/>
                <w:spacing w:val="-4"/>
                <w:kern w:val="0"/>
                <w:sz w:val="24"/>
                <w:szCs w:val="24"/>
                <w:highlight w:val="none"/>
              </w:rPr>
              <w:t xml:space="preserve"> 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Pr>
                <w:rFonts w:hint="default" w:ascii="Times New Roman" w:hAnsi="Times New Roman" w:cs="Times New Roman" w:eastAsiaTheme="minorEastAsia"/>
                <w:color w:val="auto"/>
                <w:spacing w:val="-4"/>
                <w:kern w:val="0"/>
                <w:sz w:val="24"/>
                <w:szCs w:val="24"/>
                <w:highlight w:val="none"/>
              </w:rPr>
              <w:t>20</w:t>
            </w:r>
            <w:r>
              <w:rPr>
                <w:rFonts w:hint="eastAsia" w:asciiTheme="minorEastAsia" w:hAnsiTheme="minorEastAsia" w:eastAsiaTheme="minorEastAsia" w:cstheme="minorEastAsia"/>
                <w:color w:val="auto"/>
                <w:spacing w:val="-4"/>
                <w:kern w:val="0"/>
                <w:sz w:val="24"/>
                <w:szCs w:val="24"/>
                <w:highlight w:val="none"/>
              </w:rPr>
              <w:t>万元以上</w:t>
            </w:r>
            <w:r>
              <w:rPr>
                <w:rFonts w:hint="default" w:ascii="Times New Roman" w:hAnsi="Times New Roman" w:cs="Times New Roman" w:eastAsiaTheme="minorEastAsia"/>
                <w:color w:val="auto"/>
                <w:spacing w:val="-4"/>
                <w:kern w:val="0"/>
                <w:sz w:val="24"/>
                <w:szCs w:val="24"/>
                <w:highlight w:val="none"/>
              </w:rPr>
              <w:t>100</w:t>
            </w:r>
            <w:r>
              <w:rPr>
                <w:rFonts w:hint="eastAsia" w:asciiTheme="minorEastAsia" w:hAnsiTheme="minorEastAsia" w:eastAsiaTheme="minorEastAsia" w:cstheme="minorEastAsia"/>
                <w:color w:val="auto"/>
                <w:spacing w:val="-4"/>
                <w:kern w:val="0"/>
                <w:sz w:val="24"/>
                <w:szCs w:val="24"/>
                <w:highlight w:val="none"/>
              </w:rPr>
              <w:t>万元以下的罚款；逾期不改正的，责令停止建设。</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苏州市生态环境局</w:t>
            </w:r>
            <w:r>
              <w:rPr>
                <w:rFonts w:hint="eastAsia" w:asciiTheme="minorEastAsia" w:hAnsiTheme="minorEastAsia" w:eastAsiaTheme="minorEastAsia" w:cstheme="minorEastAsia"/>
                <w:color w:val="auto"/>
                <w:spacing w:val="-4"/>
                <w:kern w:val="0"/>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苏州工业园区生态环境局</w:t>
            </w:r>
            <w:r>
              <w:rPr>
                <w:rFonts w:hint="eastAsia" w:asciiTheme="minorEastAsia" w:hAnsiTheme="minorEastAsia" w:eastAsiaTheme="minorEastAsia" w:cstheme="minorEastAsia"/>
                <w:color w:val="auto"/>
                <w:spacing w:val="-4"/>
                <w:kern w:val="0"/>
                <w:sz w:val="24"/>
                <w:szCs w:val="24"/>
                <w:highlight w:val="none"/>
              </w:rPr>
              <w:t>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noWrap w:val="0"/>
            <w:vAlign w:val="center"/>
          </w:tcPr>
          <w:p>
            <w:pPr>
              <w:overflowPunct w:val="0"/>
              <w:adjustRightInd w:val="0"/>
              <w:snapToGrid w:val="0"/>
              <w:jc w:val="center"/>
              <w:textAlignment w:val="center"/>
              <w:rPr>
                <w:rFonts w:hint="eastAsia" w:ascii="Times New Roman" w:hAnsi="Times New Roman" w:eastAsia="宋体" w:cs="Times New Roman"/>
                <w:strike w:val="0"/>
                <w:dstrike w:val="0"/>
                <w:color w:val="auto"/>
                <w:spacing w:val="-4"/>
                <w:kern w:val="0"/>
                <w:sz w:val="24"/>
                <w:szCs w:val="24"/>
                <w:highlight w:val="none"/>
                <w:shd w:val="clear" w:color="auto" w:fill="auto"/>
                <w:lang w:eastAsia="zh-CN"/>
              </w:rPr>
            </w:pPr>
            <w:r>
              <w:rPr>
                <w:rFonts w:hint="eastAsia" w:ascii="Times New Roman" w:hAnsi="Times New Roman" w:cs="Times New Roman"/>
                <w:strike w:val="0"/>
                <w:dstrike w:val="0"/>
                <w:color w:val="auto"/>
                <w:spacing w:val="-4"/>
                <w:kern w:val="0"/>
                <w:sz w:val="24"/>
                <w:szCs w:val="24"/>
                <w:highlight w:val="none"/>
                <w:shd w:val="clear" w:color="auto" w:fill="auto"/>
                <w:lang w:val="en-US" w:eastAsia="zh-CN"/>
              </w:rPr>
              <w:t>3</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需要配套建设的环境保护设施未经验收，建设项目即投入生产或者使用</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建设项目已配套建设污染防治设施</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val="en-US" w:eastAsia="zh-CN"/>
              </w:rPr>
              <w:t>并正常运行，</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且在规定期限内完成验收或主动停产、主动关闭项目、恢复原状的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《建设项目环境保护管理条例》第二十三条</w:t>
            </w:r>
            <w:r>
              <w:rPr>
                <w:rFonts w:hint="eastAsia" w:asciiTheme="minorEastAsia" w:hAnsiTheme="minorEastAsia" w:eastAsiaTheme="minorEastAsia" w:cstheme="minorEastAsia"/>
                <w:strike w:val="0"/>
                <w:dstrike w:val="0"/>
                <w:color w:val="auto"/>
                <w:spacing w:val="0"/>
                <w:kern w:val="0"/>
                <w:sz w:val="24"/>
                <w:szCs w:val="24"/>
                <w:highlight w:val="none"/>
                <w:shd w:val="clear" w:color="auto" w:fill="auto"/>
                <w:lang w:eastAsia="zh-CN"/>
              </w:rPr>
              <w:t>第一款</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 xml:space="preserve"> 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20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万元以上</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100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万元以下的罚款；逾期不改正的，处</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100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万元以上</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200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万元以下的罚款；对直接负责的主管人员和其他责任人员，处5万元以上</w:t>
            </w:r>
            <w:r>
              <w:rPr>
                <w:rFonts w:hint="default" w:ascii="Times New Roman" w:hAnsi="Times New Roman" w:cs="Times New Roman" w:eastAsiaTheme="minorEastAsia"/>
                <w:strike w:val="0"/>
                <w:dstrike w:val="0"/>
                <w:color w:val="auto"/>
                <w:spacing w:val="-4"/>
                <w:kern w:val="0"/>
                <w:sz w:val="24"/>
                <w:szCs w:val="24"/>
                <w:highlight w:val="none"/>
                <w:shd w:val="clear" w:color="auto" w:fill="auto"/>
              </w:rPr>
              <w:t>20</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万元以下的罚款；造成重大环境污染或者生态破坏的，责令停止生产或者使用，或者报经有批准权的人民政府批准，责令关闭。</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苏州市生态环境局</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eastAsia="zh-CN"/>
              </w:rPr>
              <w:t>、</w:t>
            </w:r>
            <w:r>
              <w:rPr>
                <w:rFonts w:hint="eastAsia" w:asciiTheme="minorEastAsia" w:hAnsiTheme="minorEastAsia" w:eastAsiaTheme="minorEastAsia" w:cstheme="minorEastAsia"/>
                <w:strike w:val="0"/>
                <w:dstrike w:val="0"/>
                <w:color w:val="auto"/>
                <w:spacing w:val="0"/>
                <w:kern w:val="0"/>
                <w:sz w:val="24"/>
                <w:szCs w:val="24"/>
                <w:highlight w:val="none"/>
                <w:shd w:val="clear" w:color="auto" w:fill="auto"/>
              </w:rPr>
              <w:t>苏州工业园区生态环境局</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rPr>
              <w:t>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noWrap w:val="0"/>
            <w:vAlign w:val="center"/>
          </w:tcPr>
          <w:p>
            <w:pPr>
              <w:overflowPunct w:val="0"/>
              <w:adjustRightInd w:val="0"/>
              <w:snapToGrid w:val="0"/>
              <w:jc w:val="center"/>
              <w:rPr>
                <w:rFonts w:hint="eastAsia" w:ascii="Times New Roman" w:hAnsi="Times New Roman" w:eastAsia="宋体" w:cs="Times New Roman"/>
                <w:strike/>
                <w:color w:val="auto"/>
                <w:spacing w:val="-4"/>
                <w:kern w:val="0"/>
                <w:sz w:val="24"/>
                <w:szCs w:val="24"/>
                <w:highlight w:val="none"/>
                <w:lang w:eastAsia="zh-CN"/>
              </w:rPr>
            </w:pPr>
            <w:r>
              <w:rPr>
                <w:rFonts w:hint="eastAsia" w:ascii="Times New Roman" w:hAnsi="Times New Roman" w:cs="Times New Roman"/>
                <w:color w:val="auto"/>
                <w:spacing w:val="-4"/>
                <w:kern w:val="0"/>
                <w:sz w:val="24"/>
                <w:szCs w:val="24"/>
                <w:highlight w:val="none"/>
                <w:lang w:val="en-US" w:eastAsia="zh-CN"/>
              </w:rPr>
              <w:t>4</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未按照国家环境保护标准贮存危险废物</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default" w:asciiTheme="minorEastAsia" w:hAnsiTheme="minorEastAsia" w:eastAsiaTheme="minorEastAsia" w:cstheme="minorEastAsia"/>
                <w:strike w:val="0"/>
                <w:dstrike w:val="0"/>
                <w:color w:val="auto"/>
                <w:spacing w:val="-4"/>
                <w:kern w:val="0"/>
                <w:sz w:val="24"/>
                <w:szCs w:val="24"/>
                <w:highlight w:val="none"/>
                <w:shd w:val="clear" w:color="auto" w:fill="auto"/>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val="en-US" w:eastAsia="zh-CN"/>
              </w:rPr>
              <w:t>不规范贮存危险废物数量小于0.1吨（包括0.1吨），未发现污染后果，且违法行为在规定期限内改正完毕的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《中华人民共和国固体废物污染环境防治法》第一百一十二条 违反本法规定，有下列行为之一，由生态环境主管部门责令改正，处以罚款，没收违法所得；情节严重的，报经有批准权的人民政府批准，可以责令停业或者关闭：（六）未按照国家环境保护标准贮存、利用、处置危险废物或者将危险废物混入非危险废物中贮存的；</w:t>
            </w:r>
          </w:p>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color w:val="auto"/>
                <w:spacing w:val="-4"/>
                <w:kern w:val="0"/>
                <w:sz w:val="24"/>
                <w:szCs w:val="24"/>
                <w:highlight w:val="none"/>
                <w:lang w:eastAsia="zh-CN"/>
              </w:rPr>
            </w:pPr>
            <w:r>
              <w:rPr>
                <w:rFonts w:hint="eastAsia" w:asciiTheme="minorEastAsia" w:hAnsiTheme="minorEastAsia" w:eastAsiaTheme="minorEastAsia" w:cstheme="minorEastAsia"/>
                <w:color w:val="auto"/>
                <w:spacing w:val="-4"/>
                <w:kern w:val="0"/>
                <w:sz w:val="24"/>
                <w:szCs w:val="24"/>
                <w:highlight w:val="none"/>
              </w:rPr>
              <w:t>有前款第一项、第二项、第五项、第六项、第七项、第八项、第九项、第十二项、第十三项行为之一，处十万元以上一百万元以下的罚款</w:t>
            </w:r>
            <w:r>
              <w:rPr>
                <w:rFonts w:hint="eastAsia" w:asciiTheme="minorEastAsia" w:hAnsiTheme="minorEastAsia" w:eastAsiaTheme="minorEastAsia" w:cstheme="minorEastAsia"/>
                <w:color w:val="auto"/>
                <w:spacing w:val="-4"/>
                <w:kern w:val="0"/>
                <w:sz w:val="24"/>
                <w:szCs w:val="24"/>
                <w:highlight w:val="none"/>
                <w:lang w:eastAsia="zh-CN"/>
              </w:rPr>
              <w:t>。</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rPr>
                <w:rFonts w:hint="eastAsia" w:asciiTheme="minorEastAsia" w:hAnsiTheme="minorEastAsia" w:eastAsiaTheme="minorEastAsia" w:cstheme="minorEastAsia"/>
                <w:strike/>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苏州市生态环境局</w:t>
            </w:r>
            <w:r>
              <w:rPr>
                <w:rFonts w:hint="eastAsia" w:asciiTheme="minorEastAsia" w:hAnsiTheme="minorEastAsia" w:eastAsiaTheme="minorEastAsia" w:cstheme="minorEastAsia"/>
                <w:color w:val="auto"/>
                <w:spacing w:val="-4"/>
                <w:kern w:val="0"/>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苏州工业园区生态环境局</w:t>
            </w:r>
            <w:r>
              <w:rPr>
                <w:rFonts w:hint="eastAsia" w:asciiTheme="minorEastAsia" w:hAnsiTheme="minorEastAsia" w:eastAsiaTheme="minorEastAsia" w:cstheme="minorEastAsia"/>
                <w:color w:val="auto"/>
                <w:spacing w:val="-4"/>
                <w:kern w:val="0"/>
                <w:sz w:val="24"/>
                <w:szCs w:val="24"/>
                <w:highlight w:val="none"/>
              </w:rPr>
              <w:t>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2" w:type="dxa"/>
            <w:noWrap w:val="0"/>
            <w:vAlign w:val="center"/>
          </w:tcPr>
          <w:p>
            <w:pPr>
              <w:overflowPunct w:val="0"/>
              <w:adjustRightInd w:val="0"/>
              <w:snapToGrid w:val="0"/>
              <w:jc w:val="center"/>
              <w:textAlignment w:val="center"/>
              <w:rPr>
                <w:rFonts w:hint="eastAsia" w:ascii="Times New Roman" w:hAnsi="Times New Roman" w:eastAsia="宋体" w:cs="Times New Roman"/>
                <w:color w:val="auto"/>
                <w:spacing w:val="-4"/>
                <w:kern w:val="0"/>
                <w:sz w:val="24"/>
                <w:szCs w:val="24"/>
                <w:highlight w:val="none"/>
                <w:lang w:eastAsia="zh-CN"/>
              </w:rPr>
            </w:pPr>
            <w:r>
              <w:rPr>
                <w:rFonts w:hint="eastAsia" w:ascii="Times New Roman" w:hAnsi="Times New Roman" w:cs="Times New Roman"/>
                <w:color w:val="auto"/>
                <w:spacing w:val="-4"/>
                <w:kern w:val="0"/>
                <w:sz w:val="24"/>
                <w:szCs w:val="24"/>
                <w:highlight w:val="none"/>
                <w:lang w:val="en-US" w:eastAsia="zh-CN"/>
              </w:rPr>
              <w:t>5</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超过污染物排放标准</w:t>
            </w:r>
            <w:r>
              <w:rPr>
                <w:rFonts w:hint="eastAsia" w:asciiTheme="minorEastAsia" w:hAnsiTheme="minorEastAsia" w:eastAsiaTheme="minorEastAsia" w:cstheme="minorEastAsia"/>
                <w:color w:val="auto"/>
                <w:spacing w:val="-4"/>
                <w:kern w:val="0"/>
                <w:sz w:val="24"/>
                <w:szCs w:val="24"/>
                <w:highlight w:val="none"/>
                <w:lang w:val="en-US" w:eastAsia="zh-CN"/>
              </w:rPr>
              <w:t>（排污许可证许可排放浓度）</w:t>
            </w:r>
            <w:r>
              <w:rPr>
                <w:rFonts w:hint="eastAsia" w:asciiTheme="minorEastAsia" w:hAnsiTheme="minorEastAsia" w:eastAsiaTheme="minorEastAsia" w:cstheme="minorEastAsia"/>
                <w:color w:val="auto"/>
                <w:spacing w:val="-4"/>
                <w:kern w:val="0"/>
                <w:sz w:val="24"/>
                <w:szCs w:val="24"/>
                <w:highlight w:val="none"/>
              </w:rPr>
              <w:t>排放污染物</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除第一类污染物、《最高人民法院最高人民检察院关于办理环境污染刑事案件适用法律若干问题的解释》所涉及《关于持久性有机污染物的斯德哥尔摩公约》附件所列物质、含重金属的污染物及列入《有毒有害水污染物名录》的污染物之外，超标排放水污染物（不含色度）仅有一项污染物超过规定排放标准</w:t>
            </w:r>
            <w:r>
              <w:rPr>
                <w:rFonts w:hint="eastAsia" w:asciiTheme="minorEastAsia" w:hAnsiTheme="minorEastAsia" w:eastAsiaTheme="minorEastAsia" w:cstheme="minorEastAsia"/>
                <w:color w:val="auto"/>
                <w:spacing w:val="-4"/>
                <w:kern w:val="0"/>
                <w:sz w:val="24"/>
                <w:szCs w:val="24"/>
                <w:highlight w:val="none"/>
                <w:lang w:val="en-US" w:eastAsia="zh-CN"/>
              </w:rPr>
              <w:t>（排污许可证许可排放浓度）</w:t>
            </w:r>
            <w:r>
              <w:rPr>
                <w:rFonts w:hint="eastAsia" w:asciiTheme="minorEastAsia" w:hAnsiTheme="minorEastAsia" w:eastAsiaTheme="minorEastAsia" w:cstheme="minorEastAsia"/>
                <w:color w:val="auto"/>
                <w:spacing w:val="-4"/>
                <w:kern w:val="0"/>
                <w:sz w:val="24"/>
                <w:szCs w:val="24"/>
                <w:highlight w:val="none"/>
              </w:rPr>
              <w:t>且超标幅度不超过</w:t>
            </w:r>
            <w:r>
              <w:rPr>
                <w:rFonts w:hint="default" w:asciiTheme="minorEastAsia" w:hAnsiTheme="minorEastAsia" w:eastAsiaTheme="minorEastAsia" w:cstheme="minorEastAsia"/>
                <w:color w:val="auto"/>
                <w:spacing w:val="-4"/>
                <w:kern w:val="0"/>
                <w:sz w:val="24"/>
                <w:szCs w:val="24"/>
                <w:highlight w:val="none"/>
              </w:rPr>
              <w:t>10</w:t>
            </w:r>
            <w:r>
              <w:rPr>
                <w:rFonts w:hint="eastAsia" w:asciiTheme="minorEastAsia" w:hAnsiTheme="minorEastAsia" w:eastAsiaTheme="minorEastAsia" w:cstheme="minorEastAsia"/>
                <w:color w:val="auto"/>
                <w:spacing w:val="-4"/>
                <w:kern w:val="0"/>
                <w:sz w:val="24"/>
                <w:szCs w:val="24"/>
                <w:highlight w:val="none"/>
              </w:rPr>
              <w:t>%（包括</w:t>
            </w:r>
            <w:r>
              <w:rPr>
                <w:rFonts w:hint="default" w:asciiTheme="minorEastAsia" w:hAnsiTheme="minorEastAsia" w:eastAsiaTheme="minorEastAsia" w:cstheme="minorEastAsia"/>
                <w:color w:val="auto"/>
                <w:spacing w:val="-4"/>
                <w:kern w:val="0"/>
                <w:sz w:val="24"/>
                <w:szCs w:val="24"/>
                <w:highlight w:val="none"/>
              </w:rPr>
              <w:t>10</w:t>
            </w:r>
            <w:r>
              <w:rPr>
                <w:rFonts w:hint="eastAsia" w:asciiTheme="minorEastAsia" w:hAnsiTheme="minorEastAsia" w:eastAsiaTheme="minorEastAsia" w:cstheme="minorEastAsia"/>
                <w:color w:val="auto"/>
                <w:spacing w:val="-4"/>
                <w:kern w:val="0"/>
                <w:sz w:val="24"/>
                <w:szCs w:val="24"/>
                <w:highlight w:val="none"/>
              </w:rPr>
              <w:t>%）、超标幅度在±</w:t>
            </w:r>
            <w:r>
              <w:rPr>
                <w:rFonts w:hint="default" w:asciiTheme="minorEastAsia" w:hAnsiTheme="minorEastAsia" w:eastAsiaTheme="minorEastAsia" w:cstheme="minorEastAsia"/>
                <w:color w:val="auto"/>
                <w:spacing w:val="-4"/>
                <w:kern w:val="0"/>
                <w:sz w:val="24"/>
                <w:szCs w:val="24"/>
                <w:highlight w:val="none"/>
              </w:rPr>
              <w:t>0.5</w:t>
            </w:r>
            <w:r>
              <w:rPr>
                <w:rFonts w:hint="eastAsia" w:asciiTheme="minorEastAsia" w:hAnsiTheme="minorEastAsia" w:eastAsiaTheme="minorEastAsia" w:cstheme="minorEastAsia"/>
                <w:color w:val="auto"/>
                <w:spacing w:val="-4"/>
                <w:kern w:val="0"/>
                <w:sz w:val="24"/>
                <w:szCs w:val="24"/>
                <w:highlight w:val="none"/>
              </w:rPr>
              <w:t>pH以内（包括</w:t>
            </w:r>
            <w:r>
              <w:rPr>
                <w:rFonts w:hint="default" w:asciiTheme="minorEastAsia" w:hAnsiTheme="minorEastAsia" w:eastAsiaTheme="minorEastAsia" w:cstheme="minorEastAsia"/>
                <w:color w:val="auto"/>
                <w:spacing w:val="-4"/>
                <w:kern w:val="0"/>
                <w:sz w:val="24"/>
                <w:szCs w:val="24"/>
                <w:highlight w:val="none"/>
              </w:rPr>
              <w:t>0.5</w:t>
            </w:r>
            <w:r>
              <w:rPr>
                <w:rFonts w:hint="eastAsia" w:asciiTheme="minorEastAsia" w:hAnsiTheme="minorEastAsia" w:eastAsiaTheme="minorEastAsia" w:cstheme="minorEastAsia"/>
                <w:color w:val="auto"/>
                <w:spacing w:val="-4"/>
                <w:kern w:val="0"/>
                <w:sz w:val="24"/>
                <w:szCs w:val="24"/>
                <w:highlight w:val="none"/>
              </w:rPr>
              <w:t>pH），违法行为在规定期限内改正完毕的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超过</w:t>
            </w:r>
            <w:r>
              <w:rPr>
                <w:rFonts w:hint="eastAsia" w:asciiTheme="minorEastAsia" w:hAnsiTheme="minorEastAsia" w:eastAsiaTheme="minorEastAsia" w:cstheme="minorEastAsia"/>
                <w:color w:val="auto"/>
                <w:spacing w:val="-4"/>
                <w:kern w:val="0"/>
                <w:sz w:val="24"/>
                <w:szCs w:val="24"/>
                <w:highlight w:val="none"/>
                <w:lang w:val="en-US" w:eastAsia="zh-CN"/>
              </w:rPr>
              <w:t>排污许可证许可排放浓度</w:t>
            </w:r>
            <w:r>
              <w:rPr>
                <w:rFonts w:hint="eastAsia" w:asciiTheme="minorEastAsia" w:hAnsiTheme="minorEastAsia" w:eastAsiaTheme="minorEastAsia" w:cstheme="minorEastAsia"/>
                <w:color w:val="auto"/>
                <w:spacing w:val="-4"/>
                <w:kern w:val="0"/>
                <w:sz w:val="24"/>
                <w:szCs w:val="24"/>
                <w:highlight w:val="none"/>
              </w:rPr>
              <w:t>在</w:t>
            </w:r>
            <w:r>
              <w:rPr>
                <w:rFonts w:hint="default" w:asciiTheme="minorEastAsia" w:hAnsiTheme="minorEastAsia" w:eastAsiaTheme="minorEastAsia" w:cstheme="minorEastAsia"/>
                <w:color w:val="auto"/>
                <w:spacing w:val="-4"/>
                <w:kern w:val="0"/>
                <w:sz w:val="24"/>
                <w:szCs w:val="24"/>
                <w:highlight w:val="none"/>
              </w:rPr>
              <w:t>1</w:t>
            </w:r>
            <w:r>
              <w:rPr>
                <w:rFonts w:hint="eastAsia" w:asciiTheme="minorEastAsia" w:hAnsiTheme="minorEastAsia" w:eastAsiaTheme="minorEastAsia" w:cstheme="minorEastAsia"/>
                <w:color w:val="auto"/>
                <w:spacing w:val="-4"/>
                <w:kern w:val="0"/>
                <w:sz w:val="24"/>
                <w:szCs w:val="24"/>
                <w:highlight w:val="none"/>
              </w:rPr>
              <w:t>分贝以内（包括</w:t>
            </w:r>
            <w:r>
              <w:rPr>
                <w:rFonts w:hint="default" w:asciiTheme="minorEastAsia" w:hAnsiTheme="minorEastAsia" w:eastAsiaTheme="minorEastAsia" w:cstheme="minorEastAsia"/>
                <w:color w:val="auto"/>
                <w:spacing w:val="-4"/>
                <w:kern w:val="0"/>
                <w:sz w:val="24"/>
                <w:szCs w:val="24"/>
                <w:highlight w:val="none"/>
              </w:rPr>
              <w:t>1</w:t>
            </w:r>
            <w:r>
              <w:rPr>
                <w:rFonts w:hint="eastAsia" w:asciiTheme="minorEastAsia" w:hAnsiTheme="minorEastAsia" w:eastAsiaTheme="minorEastAsia" w:cstheme="minorEastAsia"/>
                <w:color w:val="auto"/>
                <w:spacing w:val="-4"/>
                <w:kern w:val="0"/>
                <w:sz w:val="24"/>
                <w:szCs w:val="24"/>
                <w:highlight w:val="none"/>
              </w:rPr>
              <w:t>分贝），违法行为在规定期限内改正完毕的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《中华人民共和国水污染防治法》第八十三条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《排污许可管理条例》第三十四条　违反本条例规定，排污单位有下列行为之一的，由生态环境主管部门责令改正或者限制生产、停产整治，处</w:t>
            </w:r>
            <w:r>
              <w:rPr>
                <w:rFonts w:hint="default" w:asciiTheme="minorEastAsia" w:hAnsiTheme="minorEastAsia" w:eastAsiaTheme="minorEastAsia" w:cstheme="minorEastAsia"/>
                <w:color w:val="auto"/>
                <w:spacing w:val="-4"/>
                <w:kern w:val="0"/>
                <w:sz w:val="24"/>
                <w:szCs w:val="24"/>
                <w:highlight w:val="none"/>
                <w:lang w:val="en-US" w:eastAsia="zh-CN"/>
              </w:rPr>
              <w:t>20</w:t>
            </w:r>
            <w:r>
              <w:rPr>
                <w:rFonts w:hint="eastAsia" w:asciiTheme="minorEastAsia" w:hAnsiTheme="minorEastAsia" w:eastAsiaTheme="minorEastAsia" w:cstheme="minorEastAsia"/>
                <w:color w:val="auto"/>
                <w:spacing w:val="-4"/>
                <w:kern w:val="0"/>
                <w:sz w:val="24"/>
                <w:szCs w:val="24"/>
                <w:highlight w:val="none"/>
                <w:lang w:val="en-US" w:eastAsia="zh-CN"/>
              </w:rPr>
              <w:t>万元以上</w:t>
            </w:r>
            <w:r>
              <w:rPr>
                <w:rFonts w:hint="default" w:asciiTheme="minorEastAsia" w:hAnsiTheme="minorEastAsia" w:eastAsiaTheme="minorEastAsia" w:cstheme="minorEastAsia"/>
                <w:color w:val="auto"/>
                <w:spacing w:val="-4"/>
                <w:kern w:val="0"/>
                <w:sz w:val="24"/>
                <w:szCs w:val="24"/>
                <w:highlight w:val="none"/>
                <w:lang w:val="en-US" w:eastAsia="zh-CN"/>
              </w:rPr>
              <w:t>100</w:t>
            </w:r>
            <w:r>
              <w:rPr>
                <w:rFonts w:hint="eastAsia" w:asciiTheme="minorEastAsia" w:hAnsiTheme="minorEastAsia" w:eastAsiaTheme="minorEastAsia" w:cstheme="minorEastAsia"/>
                <w:color w:val="auto"/>
                <w:spacing w:val="-4"/>
                <w:kern w:val="0"/>
                <w:sz w:val="24"/>
                <w:szCs w:val="24"/>
                <w:highlight w:val="none"/>
                <w:lang w:val="en-US" w:eastAsia="zh-CN"/>
              </w:rPr>
              <w:t>万元以下的罚款；情节严重的，吊销排污许可证，报经有批准权的人民政府批准，责令停业、关闭：（一）超过许可排放浓度、许可排放量排放污染物。</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rPr>
            </w:pPr>
            <w:r>
              <w:rPr>
                <w:rFonts w:hint="eastAsia" w:asciiTheme="minorEastAsia" w:hAnsiTheme="minorEastAsia" w:eastAsiaTheme="minorEastAsia" w:cstheme="minorEastAsia"/>
                <w:color w:val="auto"/>
                <w:spacing w:val="-4"/>
                <w:kern w:val="0"/>
                <w:sz w:val="24"/>
                <w:szCs w:val="24"/>
                <w:highlight w:val="none"/>
              </w:rPr>
              <w:t>苏州市生态环境局</w:t>
            </w:r>
            <w:r>
              <w:rPr>
                <w:rFonts w:hint="eastAsia" w:asciiTheme="minorEastAsia" w:hAnsiTheme="minorEastAsia" w:eastAsiaTheme="minorEastAsia" w:cstheme="minorEastAsia"/>
                <w:color w:val="auto"/>
                <w:spacing w:val="-4"/>
                <w:kern w:val="0"/>
                <w:sz w:val="24"/>
                <w:szCs w:val="24"/>
                <w:highlight w:val="none"/>
                <w:lang w:eastAsia="zh-CN"/>
              </w:rPr>
              <w:t>、</w:t>
            </w:r>
            <w:r>
              <w:rPr>
                <w:rFonts w:hint="eastAsia" w:asciiTheme="minorEastAsia" w:hAnsiTheme="minorEastAsia" w:eastAsiaTheme="minorEastAsia" w:cstheme="minorEastAsia"/>
                <w:color w:val="auto"/>
                <w:spacing w:val="-4"/>
                <w:kern w:val="0"/>
                <w:sz w:val="24"/>
                <w:szCs w:val="24"/>
                <w:highlight w:val="none"/>
              </w:rPr>
              <w:t>苏州工业园区生态环境局及其他行使相关行政处罚权的机构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69" w:hRule="atLeast"/>
          <w:jc w:val="center"/>
        </w:trPr>
        <w:tc>
          <w:tcPr>
            <w:tcW w:w="542" w:type="dxa"/>
            <w:noWrap w:val="0"/>
            <w:vAlign w:val="center"/>
          </w:tcPr>
          <w:p>
            <w:pPr>
              <w:overflowPunct w:val="0"/>
              <w:adjustRightInd w:val="0"/>
              <w:snapToGrid w:val="0"/>
              <w:jc w:val="center"/>
              <w:textAlignment w:val="center"/>
              <w:rPr>
                <w:rFonts w:hint="default" w:ascii="Times New Roman" w:hAnsi="Times New Roman" w:eastAsia="仿宋_GB2312" w:cs="Times New Roman"/>
                <w:color w:val="auto"/>
                <w:spacing w:val="-4"/>
                <w:kern w:val="0"/>
                <w:sz w:val="24"/>
                <w:szCs w:val="24"/>
                <w:highlight w:val="none"/>
                <w:lang w:val="en-US" w:eastAsia="zh-CN"/>
              </w:rPr>
            </w:pPr>
            <w:r>
              <w:rPr>
                <w:rFonts w:hint="eastAsia" w:ascii="Times New Roman" w:hAnsi="Times New Roman" w:cs="Times New Roman"/>
                <w:strike w:val="0"/>
                <w:dstrike w:val="0"/>
                <w:color w:val="auto"/>
                <w:spacing w:val="-4"/>
                <w:kern w:val="0"/>
                <w:sz w:val="24"/>
                <w:szCs w:val="24"/>
                <w:highlight w:val="none"/>
                <w:lang w:val="en-US" w:eastAsia="zh-CN"/>
              </w:rPr>
              <w:t>6</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未按照规定对污染物进行监测并保存原始监测记录</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排污单位未严格按照排污许可证规定的污染物种类和监</w:t>
            </w:r>
            <w:r>
              <w:rPr>
                <w:rFonts w:hint="eastAsia" w:asciiTheme="minorEastAsia" w:hAnsiTheme="minorEastAsia" w:eastAsiaTheme="minorEastAsia" w:cstheme="minorEastAsia"/>
                <w:strike w:val="0"/>
                <w:dstrike w:val="0"/>
                <w:color w:val="auto"/>
                <w:spacing w:val="-4"/>
                <w:kern w:val="0"/>
                <w:sz w:val="24"/>
                <w:szCs w:val="24"/>
                <w:highlight w:val="none"/>
                <w:shd w:val="clear" w:color="auto" w:fill="auto"/>
                <w:lang w:val="en-US" w:eastAsia="zh-CN"/>
              </w:rPr>
              <w:t>测频次开展自行监测，且缺失监测数据的比例3%以下的；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《中华人民共和国大气污染防治法》第一百条 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《中华人民共和国水污染防治法》第八十二条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《中华人民共和国噪声污染防治法》第七十六条 违反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w:t>
            </w:r>
          </w:p>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《排污许可管理条例》第三十六条　违反本条例规定，排污单位有下列行为之一的，由生态环境主管部门责令</w:t>
            </w: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改正，处</w:t>
            </w:r>
            <w:r>
              <w:rPr>
                <w:rFonts w:hint="default" w:asciiTheme="minorEastAsia" w:hAnsiTheme="minorEastAsia" w:eastAsiaTheme="minorEastAsia" w:cstheme="minorEastAsia"/>
                <w:strike w:val="0"/>
                <w:dstrike w:val="0"/>
                <w:color w:val="auto"/>
                <w:spacing w:val="-4"/>
                <w:kern w:val="0"/>
                <w:sz w:val="24"/>
                <w:szCs w:val="24"/>
                <w:highlight w:val="none"/>
                <w:lang w:val="en-US" w:eastAsia="zh-CN"/>
              </w:rPr>
              <w:t>2</w:t>
            </w: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万元以上</w:t>
            </w:r>
            <w:r>
              <w:rPr>
                <w:rFonts w:hint="default" w:asciiTheme="minorEastAsia" w:hAnsiTheme="minorEastAsia" w:eastAsiaTheme="minorEastAsia" w:cstheme="minorEastAsia"/>
                <w:strike w:val="0"/>
                <w:dstrike w:val="0"/>
                <w:color w:val="auto"/>
                <w:spacing w:val="-4"/>
                <w:kern w:val="0"/>
                <w:sz w:val="24"/>
                <w:szCs w:val="24"/>
                <w:highlight w:val="none"/>
                <w:lang w:val="en-US" w:eastAsia="zh-CN"/>
              </w:rPr>
              <w:t>20</w:t>
            </w: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万元以下的罚款；拒不改正的，责令停产整治：（五）未按照排污许可证规定制定自行监测方案并开展自行监测(六)未按照排污许可证规定保存原始监测记录。</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Theme="minorEastAsia" w:hAnsiTheme="minorEastAsia" w:eastAsiaTheme="minorEastAsia" w:cstheme="minorEastAsia"/>
                <w:color w:val="auto"/>
                <w:spacing w:val="-4"/>
                <w:kern w:val="0"/>
                <w:sz w:val="24"/>
                <w:szCs w:val="24"/>
                <w:highlight w:val="none"/>
                <w:lang w:val="en-US" w:eastAsia="zh-CN"/>
              </w:rPr>
            </w:pPr>
            <w:r>
              <w:rPr>
                <w:rFonts w:hint="eastAsia" w:asciiTheme="minorEastAsia" w:hAnsiTheme="minorEastAsia" w:eastAsiaTheme="minorEastAsia" w:cstheme="minorEastAsia"/>
                <w:color w:val="auto"/>
                <w:spacing w:val="-4"/>
                <w:kern w:val="0"/>
                <w:sz w:val="24"/>
                <w:szCs w:val="24"/>
                <w:highlight w:val="none"/>
                <w:lang w:val="en-US" w:eastAsia="zh-CN"/>
              </w:rPr>
              <w:t>苏州市生态环境局、苏州工业园区生态环境局及其他行使相关行政处罚权的机构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noWrap w:val="0"/>
            <w:vAlign w:val="center"/>
          </w:tcPr>
          <w:p>
            <w:pPr>
              <w:overflowPunct w:val="0"/>
              <w:adjustRightInd w:val="0"/>
              <w:snapToGrid w:val="0"/>
              <w:jc w:val="center"/>
              <w:textAlignment w:val="center"/>
              <w:rPr>
                <w:rFonts w:hint="default" w:ascii="Times New Roman" w:hAnsi="Times New Roman" w:eastAsia="仿宋_GB2312" w:cs="Times New Roman"/>
                <w:strike w:val="0"/>
                <w:dstrike w:val="0"/>
                <w:color w:val="auto"/>
                <w:spacing w:val="-4"/>
                <w:kern w:val="0"/>
                <w:sz w:val="24"/>
                <w:szCs w:val="24"/>
                <w:highlight w:val="none"/>
                <w:shd w:val="clear" w:color="auto" w:fill="auto"/>
                <w:lang w:val="en-US" w:eastAsia="zh-CN"/>
              </w:rPr>
            </w:pPr>
            <w:r>
              <w:rPr>
                <w:rFonts w:hint="eastAsia" w:ascii="Times New Roman" w:hAnsi="Times New Roman" w:eastAsia="仿宋_GB2312" w:cs="Times New Roman"/>
                <w:strike w:val="0"/>
                <w:dstrike w:val="0"/>
                <w:color w:val="auto"/>
                <w:spacing w:val="-4"/>
                <w:kern w:val="0"/>
                <w:sz w:val="24"/>
                <w:szCs w:val="24"/>
                <w:highlight w:val="none"/>
                <w:shd w:val="clear" w:color="auto" w:fill="auto"/>
                <w:lang w:val="en-US" w:eastAsia="zh-CN"/>
              </w:rPr>
              <w:t>7</w:t>
            </w:r>
          </w:p>
        </w:tc>
        <w:tc>
          <w:tcPr>
            <w:tcW w:w="204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产生、收集、贮存、运输、利用、处置固体废物的单位未依法及时公开固体废物污染环境防治信息</w:t>
            </w:r>
          </w:p>
        </w:tc>
        <w:tc>
          <w:tcPr>
            <w:tcW w:w="2668"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未发现污染后果且现场安全管理措施到位，且违法行为在规定期限内改正完毕的</w:t>
            </w:r>
          </w:p>
        </w:tc>
        <w:tc>
          <w:tcPr>
            <w:tcW w:w="5086"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《中华人民共和国固体废物污染环境防治法》第一百零二条　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w:t>
            </w:r>
          </w:p>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有前款第一项、第八项行为之一，处五万元以上二十万元以下的罚款。</w:t>
            </w:r>
          </w:p>
        </w:tc>
        <w:tc>
          <w:tcPr>
            <w:tcW w:w="1420" w:type="dxa"/>
            <w:noWrap w:val="0"/>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苏州市生态环境局、苏州工业园区生态环境局及其他行使相关行政处罚权的机构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21" w:hRule="atLeast"/>
          <w:jc w:val="center"/>
        </w:trPr>
        <w:tc>
          <w:tcPr>
            <w:tcW w:w="542" w:type="dxa"/>
            <w:vAlign w:val="center"/>
          </w:tcPr>
          <w:p>
            <w:pPr>
              <w:overflowPunct w:val="0"/>
              <w:adjustRightInd w:val="0"/>
              <w:snapToGrid w:val="0"/>
              <w:jc w:val="center"/>
              <w:textAlignment w:val="center"/>
              <w:rPr>
                <w:rFonts w:hint="default" w:ascii="Times New Roman" w:hAnsi="Times New Roman" w:cs="Times New Roman"/>
                <w:strike/>
                <w:dstrike w:val="0"/>
                <w:color w:val="auto"/>
                <w:spacing w:val="-4"/>
                <w:kern w:val="0"/>
                <w:sz w:val="24"/>
                <w:szCs w:val="24"/>
                <w:highlight w:val="none"/>
                <w:lang w:val="en-US" w:eastAsia="zh-CN"/>
              </w:rPr>
            </w:pPr>
            <w:r>
              <w:rPr>
                <w:rFonts w:hint="eastAsia" w:ascii="Times New Roman" w:hAnsi="Times New Roman" w:cs="Times New Roman"/>
                <w:strike w:val="0"/>
                <w:dstrike w:val="0"/>
                <w:color w:val="auto"/>
                <w:spacing w:val="-4"/>
                <w:kern w:val="0"/>
                <w:sz w:val="24"/>
                <w:szCs w:val="24"/>
                <w:highlight w:val="none"/>
                <w:lang w:val="en-US" w:eastAsia="zh-CN"/>
              </w:rPr>
              <w:t>8</w:t>
            </w:r>
          </w:p>
        </w:tc>
        <w:tc>
          <w:tcPr>
            <w:tcW w:w="204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未按照国家有关规定制定危险废物管理计划</w:t>
            </w:r>
          </w:p>
        </w:tc>
        <w:tc>
          <w:tcPr>
            <w:tcW w:w="266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default"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现场危险废物环境污染防治措施落实到位，</w:t>
            </w: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已制定危险废物管理计划，但制定不规范，且五个工作日内重新编制管理计划并备案的</w:t>
            </w:r>
          </w:p>
        </w:tc>
        <w:tc>
          <w:tcPr>
            <w:tcW w:w="5086"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《中华人民共和国固体废物污染环境防治法》第一百一十二条　违反本法规定，有下列行为之一，由生态环境主管部门责令改正，处以罚款，没收违法所得；情节严重的，报经有批准权的人民政府批准，可以责令停业或者关闭：（二）未按照国家有关规定制定危险废物管理计划或者申报危险废物有关资料的。</w:t>
            </w:r>
          </w:p>
        </w:tc>
        <w:tc>
          <w:tcPr>
            <w:tcW w:w="1420"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苏州市生态环境局、苏州工业园区生态环境局及其他行使相关行政处罚权的机构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43" w:hRule="atLeast"/>
          <w:jc w:val="center"/>
        </w:trPr>
        <w:tc>
          <w:tcPr>
            <w:tcW w:w="542"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default"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9</w:t>
            </w:r>
          </w:p>
        </w:tc>
        <w:tc>
          <w:tcPr>
            <w:tcW w:w="204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未按照国家环境保护标准贮存工业固体废物</w:t>
            </w:r>
          </w:p>
        </w:tc>
        <w:tc>
          <w:tcPr>
            <w:tcW w:w="266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不规范贮存工业固体废物数量小于1吨（包括1吨），未发现污染后果，且违法行为在规定期限内改正完毕的</w:t>
            </w:r>
          </w:p>
        </w:tc>
        <w:tc>
          <w:tcPr>
            <w:tcW w:w="5086"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《中华人民共和国固体废物污染环境防治法》第一百零二条 违反本法规定，有下列行为之一，由生态环境主管部门责令改正，处以罚款，没收违法所得；情节严重的，报经有批准权的人民政府批准，可以责令停业或者关闭：（十）贮存工业固体废物未采取符合国家环境保护标准的防护措施的；</w:t>
            </w:r>
          </w:p>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有前款第二项、第三项、第四项、第五项、第六项、第九项、第十项、第十一项行为之一，处十万元以上一百万元以下的罚款；</w:t>
            </w:r>
          </w:p>
        </w:tc>
        <w:tc>
          <w:tcPr>
            <w:tcW w:w="1420"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苏州市生态环境局、苏州工业园区生态环境局及其他行使相关行政处罚权的机构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34" w:hRule="atLeast"/>
          <w:jc w:val="center"/>
        </w:trPr>
        <w:tc>
          <w:tcPr>
            <w:tcW w:w="542"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10</w:t>
            </w:r>
          </w:p>
        </w:tc>
        <w:tc>
          <w:tcPr>
            <w:tcW w:w="204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使用排放不合格的非道路移动机械</w:t>
            </w:r>
          </w:p>
        </w:tc>
        <w:tc>
          <w:tcPr>
            <w:tcW w:w="2668"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排放不合格的非道路机械不超过2台，且烟</w:t>
            </w:r>
            <w:bookmarkStart w:id="0" w:name="_GoBack"/>
            <w:bookmarkEnd w:id="0"/>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度检出值不超过排放限值的20%，并在规定期限内整改达标或者淘汰的</w:t>
            </w:r>
          </w:p>
        </w:tc>
        <w:tc>
          <w:tcPr>
            <w:tcW w:w="5086"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《中华人民共和国大气污染防治法》第一百一十四条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1420" w:type="dxa"/>
            <w:vAlign w:val="center"/>
          </w:tcPr>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t>苏州市生态环境局、苏州工业园区生态环境局及其他行使相关行政处罚权的机构</w:t>
            </w:r>
          </w:p>
        </w:tc>
      </w:tr>
    </w:tbl>
    <w:p>
      <w:pPr>
        <w:overflowPunct w:val="0"/>
        <w:adjustRightInd w:val="0"/>
        <w:snapToGrid w:val="0"/>
        <w:textAlignment w:val="center"/>
        <w:rPr>
          <w:rFonts w:hint="default" w:ascii="Times New Roman" w:hAnsi="Times New Roman"/>
          <w:color w:val="auto"/>
          <w:spacing w:val="-4"/>
          <w:kern w:val="0"/>
          <w:sz w:val="24"/>
          <w:szCs w:val="24"/>
          <w:highlight w:val="yellow"/>
        </w:rPr>
      </w:pPr>
    </w:p>
    <w:p>
      <w:pPr>
        <w:keepNext w:val="0"/>
        <w:keepLines w:val="0"/>
        <w:pageBreakBefore w:val="0"/>
        <w:widowControl w:val="0"/>
        <w:kinsoku/>
        <w:wordWrap/>
        <w:overflowPunct w:val="0"/>
        <w:topLinePunct w:val="0"/>
        <w:autoSpaceDE/>
        <w:autoSpaceDN/>
        <w:bidi w:val="0"/>
        <w:adjustRightInd w:val="0"/>
        <w:snapToGrid w:val="0"/>
        <w:textAlignment w:val="center"/>
        <w:rPr>
          <w:rFonts w:hint="eastAsia" w:asciiTheme="minorEastAsia" w:hAnsiTheme="minorEastAsia" w:eastAsiaTheme="minorEastAsia" w:cstheme="minorEastAsia"/>
          <w:strike w:val="0"/>
          <w:dstrike w:val="0"/>
          <w:color w:val="auto"/>
          <w:spacing w:val="-4"/>
          <w:kern w:val="0"/>
          <w:sz w:val="24"/>
          <w:szCs w:val="24"/>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textAlignment w:val="center"/>
        <w:rPr>
          <w:rFonts w:hint="default" w:asciiTheme="minorEastAsia" w:hAnsiTheme="minorEastAsia" w:eastAsiaTheme="minorEastAsia" w:cstheme="minorEastAsia"/>
          <w:strike w:val="0"/>
          <w:dstrike w:val="0"/>
          <w:color w:val="auto"/>
          <w:spacing w:val="-4"/>
          <w:kern w:val="0"/>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Dg0NDZjZjY2ZTMwYTBjZTA2MDMwMzc3ZGQ1M2UifQ=="/>
  </w:docVars>
  <w:rsids>
    <w:rsidRoot w:val="3EBC39A9"/>
    <w:rsid w:val="003412F1"/>
    <w:rsid w:val="00BF4C2D"/>
    <w:rsid w:val="012E5AF5"/>
    <w:rsid w:val="01953276"/>
    <w:rsid w:val="01B42948"/>
    <w:rsid w:val="022656AB"/>
    <w:rsid w:val="031E198F"/>
    <w:rsid w:val="05F72243"/>
    <w:rsid w:val="065C674E"/>
    <w:rsid w:val="06636B01"/>
    <w:rsid w:val="074A22B5"/>
    <w:rsid w:val="07DA53FF"/>
    <w:rsid w:val="088759C9"/>
    <w:rsid w:val="0A3F5536"/>
    <w:rsid w:val="0B81117E"/>
    <w:rsid w:val="0D9176AA"/>
    <w:rsid w:val="0DD73ECA"/>
    <w:rsid w:val="0F033EA7"/>
    <w:rsid w:val="10903040"/>
    <w:rsid w:val="11910975"/>
    <w:rsid w:val="13177C46"/>
    <w:rsid w:val="13B51705"/>
    <w:rsid w:val="14603640"/>
    <w:rsid w:val="14B813EA"/>
    <w:rsid w:val="14F955CC"/>
    <w:rsid w:val="155E1F1A"/>
    <w:rsid w:val="157F7F62"/>
    <w:rsid w:val="15F05857"/>
    <w:rsid w:val="168B71B7"/>
    <w:rsid w:val="16AB60BD"/>
    <w:rsid w:val="16F413C5"/>
    <w:rsid w:val="17012642"/>
    <w:rsid w:val="17432486"/>
    <w:rsid w:val="18B46AA8"/>
    <w:rsid w:val="1B6148F2"/>
    <w:rsid w:val="1BAF7A75"/>
    <w:rsid w:val="1BD60ACD"/>
    <w:rsid w:val="1C0B7423"/>
    <w:rsid w:val="1C79694C"/>
    <w:rsid w:val="1DA97D1A"/>
    <w:rsid w:val="1E4D32CD"/>
    <w:rsid w:val="1EA57449"/>
    <w:rsid w:val="1EB23873"/>
    <w:rsid w:val="20C0129D"/>
    <w:rsid w:val="20D067DE"/>
    <w:rsid w:val="213D605E"/>
    <w:rsid w:val="219313DF"/>
    <w:rsid w:val="21FB6A27"/>
    <w:rsid w:val="22463166"/>
    <w:rsid w:val="226E183C"/>
    <w:rsid w:val="25643BBA"/>
    <w:rsid w:val="26987061"/>
    <w:rsid w:val="2A6318D1"/>
    <w:rsid w:val="2B1B4ED1"/>
    <w:rsid w:val="2B6832E8"/>
    <w:rsid w:val="2D465E11"/>
    <w:rsid w:val="2F374EC1"/>
    <w:rsid w:val="30A7329E"/>
    <w:rsid w:val="30D809E8"/>
    <w:rsid w:val="30FF39C1"/>
    <w:rsid w:val="317205DD"/>
    <w:rsid w:val="32531F29"/>
    <w:rsid w:val="35B37F0B"/>
    <w:rsid w:val="36BF21E6"/>
    <w:rsid w:val="371B7CF7"/>
    <w:rsid w:val="374852F5"/>
    <w:rsid w:val="37721DCC"/>
    <w:rsid w:val="37CB6AAC"/>
    <w:rsid w:val="37F30D82"/>
    <w:rsid w:val="383C30D8"/>
    <w:rsid w:val="391C2FCD"/>
    <w:rsid w:val="39667958"/>
    <w:rsid w:val="3BFA4E20"/>
    <w:rsid w:val="3C957596"/>
    <w:rsid w:val="3CFF7672"/>
    <w:rsid w:val="3D302FA6"/>
    <w:rsid w:val="3E2B48AC"/>
    <w:rsid w:val="3EBC39A9"/>
    <w:rsid w:val="400E2C48"/>
    <w:rsid w:val="43C57A72"/>
    <w:rsid w:val="443533B9"/>
    <w:rsid w:val="469C5B91"/>
    <w:rsid w:val="473D5D4F"/>
    <w:rsid w:val="475B41DC"/>
    <w:rsid w:val="47D73BEA"/>
    <w:rsid w:val="48184389"/>
    <w:rsid w:val="49135F25"/>
    <w:rsid w:val="49C70A83"/>
    <w:rsid w:val="4A293BFB"/>
    <w:rsid w:val="4A746E4E"/>
    <w:rsid w:val="4ACF5BF8"/>
    <w:rsid w:val="4B7F26FB"/>
    <w:rsid w:val="4C4A23B9"/>
    <w:rsid w:val="4D115A78"/>
    <w:rsid w:val="4DC45782"/>
    <w:rsid w:val="4E1368CA"/>
    <w:rsid w:val="4EC7658F"/>
    <w:rsid w:val="4EE54ECF"/>
    <w:rsid w:val="4F4005A1"/>
    <w:rsid w:val="4F477F24"/>
    <w:rsid w:val="4F7F096E"/>
    <w:rsid w:val="4F8D0CEE"/>
    <w:rsid w:val="50A94DA7"/>
    <w:rsid w:val="50E94F8B"/>
    <w:rsid w:val="5163721D"/>
    <w:rsid w:val="532F1045"/>
    <w:rsid w:val="535350EA"/>
    <w:rsid w:val="53C1179E"/>
    <w:rsid w:val="547E2977"/>
    <w:rsid w:val="553E32C9"/>
    <w:rsid w:val="5587107B"/>
    <w:rsid w:val="562763BA"/>
    <w:rsid w:val="567D1EA9"/>
    <w:rsid w:val="57082A7B"/>
    <w:rsid w:val="571B7CCD"/>
    <w:rsid w:val="59A27DC4"/>
    <w:rsid w:val="5A0C7F5F"/>
    <w:rsid w:val="5A3E08C9"/>
    <w:rsid w:val="5A487392"/>
    <w:rsid w:val="5BC56459"/>
    <w:rsid w:val="5BFF4EC1"/>
    <w:rsid w:val="5C724177"/>
    <w:rsid w:val="5CF97AD0"/>
    <w:rsid w:val="5D043747"/>
    <w:rsid w:val="5D2400EC"/>
    <w:rsid w:val="5DF27800"/>
    <w:rsid w:val="5E010AD1"/>
    <w:rsid w:val="5EE9619A"/>
    <w:rsid w:val="6028345A"/>
    <w:rsid w:val="604C7149"/>
    <w:rsid w:val="6183303E"/>
    <w:rsid w:val="61BB57DA"/>
    <w:rsid w:val="6298705D"/>
    <w:rsid w:val="63BD1327"/>
    <w:rsid w:val="63DB4A00"/>
    <w:rsid w:val="63EA4CD1"/>
    <w:rsid w:val="65533ABB"/>
    <w:rsid w:val="66CB754A"/>
    <w:rsid w:val="66DC59E8"/>
    <w:rsid w:val="66F525EC"/>
    <w:rsid w:val="679F5C8F"/>
    <w:rsid w:val="683C12C8"/>
    <w:rsid w:val="696962D1"/>
    <w:rsid w:val="699E0B7B"/>
    <w:rsid w:val="69E516EC"/>
    <w:rsid w:val="6A841351"/>
    <w:rsid w:val="6A89664A"/>
    <w:rsid w:val="6C3C6B8F"/>
    <w:rsid w:val="6C550709"/>
    <w:rsid w:val="6C8F13AC"/>
    <w:rsid w:val="6D2A7C88"/>
    <w:rsid w:val="6DD838E5"/>
    <w:rsid w:val="6E8F7245"/>
    <w:rsid w:val="71242F8D"/>
    <w:rsid w:val="71536F6A"/>
    <w:rsid w:val="719122C6"/>
    <w:rsid w:val="719170B1"/>
    <w:rsid w:val="71FC0A7C"/>
    <w:rsid w:val="72807126"/>
    <w:rsid w:val="7294672D"/>
    <w:rsid w:val="73BE248D"/>
    <w:rsid w:val="73E96571"/>
    <w:rsid w:val="74B04184"/>
    <w:rsid w:val="74DB5BB1"/>
    <w:rsid w:val="74F556BF"/>
    <w:rsid w:val="751D0C5C"/>
    <w:rsid w:val="75470F72"/>
    <w:rsid w:val="756B291D"/>
    <w:rsid w:val="75824801"/>
    <w:rsid w:val="75910E22"/>
    <w:rsid w:val="76217643"/>
    <w:rsid w:val="767903C9"/>
    <w:rsid w:val="77A5479D"/>
    <w:rsid w:val="77CF5EED"/>
    <w:rsid w:val="78E67E0C"/>
    <w:rsid w:val="79B13B1C"/>
    <w:rsid w:val="7A4128EC"/>
    <w:rsid w:val="7AAC334C"/>
    <w:rsid w:val="7BD73F04"/>
    <w:rsid w:val="7C3272AC"/>
    <w:rsid w:val="7C993FAC"/>
    <w:rsid w:val="7E2D54C8"/>
    <w:rsid w:val="7EB13D6D"/>
    <w:rsid w:val="7EDD4E30"/>
    <w:rsid w:val="7FEB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4769</Words>
  <Characters>4817</Characters>
  <Lines>0</Lines>
  <Paragraphs>0</Paragraphs>
  <TotalTime>54</TotalTime>
  <ScaleCrop>false</ScaleCrop>
  <LinksUpToDate>false</LinksUpToDate>
  <CharactersWithSpaces>4841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2022-04-13T01:50:00Z</dcterms:created>
  <dc:creator>刘峰</dc:creator>
  <cp:lastModifiedBy>尼古拉斯-熊本峰</cp:lastModifiedBy>
  <dcterms:modified xsi:type="dcterms:W3CDTF">2024-08-07T03:18:20Z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0F0154F668CB4C5BB35B0E8046F54EC1_13</vt:lpwstr>
  </property>
</Properties>
</file>