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苏环建诺〔2026〕09第0020号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46936362">
      <w:pPr>
        <w:pStyle w:val="4"/>
        <w:adjustRightInd w:val="0"/>
        <w:snapToGrid w:val="0"/>
        <w:spacing w:line="640" w:lineRule="exact"/>
        <w:jc w:val="center"/>
        <w:rPr>
          <w:rFonts w:hint="eastAsia" w:ascii="宋体" w:hAnsi="宋体" w:eastAsia="宋体"/>
          <w:sz w:val="44"/>
          <w:szCs w:val="44"/>
          <w:lang w:eastAsia="zh-CN"/>
        </w:rPr>
      </w:pPr>
      <w:bookmarkStart w:id="1" w:name="pf_title"/>
      <w:bookmarkStart w:id="9" w:name="_GoBack"/>
      <w:r>
        <w:rPr>
          <w:rFonts w:hint="eastAsia" w:ascii="宋体" w:hAnsi="宋体" w:eastAsia="宋体"/>
          <w:sz w:val="44"/>
          <w:szCs w:val="44"/>
          <w:lang w:eastAsia="zh-CN"/>
        </w:rPr>
        <w:t>关于对苏州市御云电梯配件有限公司</w:t>
      </w:r>
    </w:p>
    <w:p w14:paraId="41A2BD04">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bookmarkEnd w:id="9"/>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苏州市御云电梯配件有限公司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0172458D">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电梯轿箱龙门架2万套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379329C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69402F5A">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2026年3月27日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2411-320509-89-01-643237</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2026年3月27日印发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056D7535"/>
    <w:rsid w:val="4A292CB7"/>
    <w:rsid w:val="51675DA1"/>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693</Words>
  <Characters>724</Characters>
  <Lines>1</Lines>
  <Paragraphs>1</Paragraphs>
  <TotalTime>7</TotalTime>
  <ScaleCrop>false</ScaleCrop>
  <LinksUpToDate>false</LinksUpToDate>
  <CharactersWithSpaces>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2017-09-08T09:16:00Z</cp:lastPrinted>
  <dcterms:modified xsi:type="dcterms:W3CDTF">2026-03-27T05:10:26Z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BAE48EF36824452E9A1110F1858D9D0F_13</vt:lpwstr>
  </property>
  <property fmtid="{D5CDD505-2E9C-101B-9397-08002B2CF9AE}" pid="4" name="KSOTemplateDocerSaveRecord">
    <vt:lpwstr>eyJoZGlkIjoiMTJiY2EwNGQwMjAwMzgwYzM3ZjZmNDJjM2E0ZjFmNWQiLCJ1c2VySWQiOiI2NzMzMjQ5NjUifQ==</vt:lpwstr>
  </property>
</Properties>
</file>