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方正小标宋简体"/>
          <w:color w:val="FF0000"/>
          <w:kern w:val="0"/>
          <w:sz w:val="96"/>
          <w:szCs w:val="96"/>
        </w:rPr>
        <w:t>苏州</w:t>
      </w:r>
      <w:r>
        <w:rPr>
          <w:rFonts w:hint="eastAsia" w:eastAsia="方正小标宋简体"/>
          <w:color w:val="FF0000"/>
          <w:kern w:val="0"/>
          <w:sz w:val="96"/>
          <w:szCs w:val="96"/>
        </w:rPr>
        <w:t>市生态环境</w:t>
      </w:r>
      <w:r>
        <w:rPr>
          <w:rFonts w:eastAsia="方正小标宋简体"/>
          <w:color w:val="FF0000"/>
          <w:kern w:val="0"/>
          <w:sz w:val="96"/>
          <w:szCs w:val="96"/>
        </w:rPr>
        <w:t>局</w:t>
      </w:r>
      <w:r>
        <w:rPr>
          <w:rFonts w:hint="eastAsia" w:eastAsia="方正小标宋简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苏环建诺〔2026〕09第0009号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7D8F44DB">
      <w:pPr>
        <w:pStyle w:val="4"/>
        <w:adjustRightInd w:val="0"/>
        <w:snapToGrid w:val="0"/>
        <w:spacing w:line="640" w:lineRule="exact"/>
        <w:jc w:val="center"/>
        <w:rPr>
          <w:rFonts w:hint="eastAsia" w:ascii="方正小标宋简体" w:eastAsia="方正小标宋简体"/>
          <w:sz w:val="44"/>
          <w:szCs w:val="44"/>
          <w:lang w:eastAsia="zh-CN"/>
        </w:rPr>
      </w:pPr>
      <w:bookmarkStart w:id="1" w:name="pf_title"/>
      <w:r>
        <w:rPr>
          <w:rFonts w:hint="eastAsia" w:ascii="方正小标宋简体" w:eastAsia="方正小标宋简体"/>
          <w:sz w:val="44"/>
          <w:szCs w:val="44"/>
          <w:lang w:eastAsia="zh-CN"/>
        </w:rPr>
        <w:t>关于对江苏永鼎股份有限公司</w:t>
      </w:r>
    </w:p>
    <w:p w14:paraId="71223C78">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江苏永鼎股份有限公司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53D39707">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1500万芯光通信智能化光纤生产技术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18E3B8D8">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w:t>
            </w:r>
            <w:bookmarkStart w:id="9" w:name="_GoBack"/>
            <w:bookmarkEnd w:id="9"/>
            <w:r>
              <w:rPr>
                <w:rFonts w:hint="eastAsia" w:ascii="Times New Roman" w:hAnsi="Times New Roman"/>
                <w:szCs w:val="32"/>
                <w:lang w:eastAsia="zh-CN"/>
              </w:rPr>
              <w:t>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55DEB2D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2026年1月20日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2410-320573-89-02-711021</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2026年1月20日印发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28CD3566"/>
    <w:rsid w:val="51675DA1"/>
    <w:rsid w:val="5AA21CF0"/>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722</Words>
  <Characters>767</Characters>
  <Lines>1</Lines>
  <Paragraphs>1</Paragraphs>
  <TotalTime>5</TotalTime>
  <ScaleCrop>false</ScaleCrop>
  <LinksUpToDate>false</LinksUpToDate>
  <CharactersWithSpaces>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废船飞上天</cp:lastModifiedBy>
  <cp:lastPrinted>2017-09-08T09:16:00Z</cp:lastPrinted>
  <dcterms:modified xsi:type="dcterms:W3CDTF">2026-01-20T03:00:41Z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BAE48EF36824452E9A1110F1858D9D0F_13</vt:lpwstr>
  </property>
  <property fmtid="{D5CDD505-2E9C-101B-9397-08002B2CF9AE}" pid="4" name="KSOTemplateDocerSaveRecord">
    <vt:lpwstr>eyJoZGlkIjoiMDJmMThhMzlhMjUwZjNlOWVkMjZlNGU5NmQzMjk1YTQiLCJ1c2VySWQiOiI0NTM2OTk3MjEifQ==</vt:lpwstr>
  </property>
</Properties>
</file>