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rFonts w:eastAsia="宋体"/>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苏环建诺〔2025〕09第0070号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0F539BB6">
      <w:pPr>
        <w:pStyle w:val="4"/>
        <w:adjustRightInd w:val="0"/>
        <w:snapToGrid w:val="0"/>
        <w:spacing w:line="640" w:lineRule="exact"/>
        <w:jc w:val="center"/>
        <w:rPr>
          <w:rFonts w:hint="eastAsia" w:ascii="宋体" w:hAnsi="宋体" w:eastAsia="宋体"/>
          <w:sz w:val="44"/>
          <w:szCs w:val="44"/>
          <w:lang w:eastAsia="zh-CN"/>
        </w:rPr>
      </w:pPr>
      <w:bookmarkStart w:id="1" w:name="pf_title"/>
      <w:r>
        <w:rPr>
          <w:rFonts w:hint="eastAsia" w:ascii="宋体" w:hAnsi="宋体" w:eastAsia="宋体"/>
          <w:sz w:val="44"/>
          <w:szCs w:val="44"/>
          <w:lang w:eastAsia="zh-CN"/>
        </w:rPr>
        <w:t>关于对江苏华电吴江热电有限公司</w:t>
      </w:r>
    </w:p>
    <w:p w14:paraId="33AA3C4E">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江苏华电吴江热电有限公司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6AD710D0">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天然气锅炉改造项目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0B04C940">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w:t>
            </w:r>
            <w:bookmarkStart w:id="9" w:name="_GoBack"/>
            <w:bookmarkEnd w:id="9"/>
            <w:r>
              <w:rPr>
                <w:rFonts w:hint="eastAsia" w:ascii="Times New Roman" w:hAnsi="Times New Roman"/>
                <w:szCs w:val="32"/>
                <w:lang w:eastAsia="zh-CN"/>
              </w:rPr>
              <w:t>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5094F1B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2025年12月15日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2505-320567-89-02-342108</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2025年12月15日印发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02E313CC"/>
    <w:rsid w:val="48491AE0"/>
    <w:rsid w:val="51675DA1"/>
    <w:rsid w:val="615A400F"/>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688</Words>
  <Characters>720</Characters>
  <Lines>1</Lines>
  <Paragraphs>1</Paragraphs>
  <TotalTime>6</TotalTime>
  <ScaleCrop>false</ScaleCrop>
  <LinksUpToDate>false</LinksUpToDate>
  <CharactersWithSpaces>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2025-12-15T02:19:40Z</cp:lastPrinted>
  <dcterms:modified xsi:type="dcterms:W3CDTF">2025-12-15T02:20:26Z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