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0F" w:rsidRDefault="00E15234" w:rsidP="00347AC3">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2023年度市政府工作任务上半年进展情况汇总表</w:t>
      </w:r>
    </w:p>
    <w:p w:rsidR="00347AC3" w:rsidRPr="00347AC3" w:rsidRDefault="00347AC3" w:rsidP="00347AC3">
      <w:pPr>
        <w:spacing w:line="600" w:lineRule="exact"/>
        <w:jc w:val="center"/>
        <w:rPr>
          <w:rFonts w:ascii="楷体_GB2312" w:eastAsia="楷体_GB2312" w:hint="eastAsia"/>
          <w:sz w:val="32"/>
          <w:szCs w:val="32"/>
        </w:rPr>
      </w:pPr>
      <w:r w:rsidRPr="00347AC3">
        <w:rPr>
          <w:rFonts w:ascii="楷体_GB2312" w:eastAsia="楷体_GB2312" w:hint="eastAsia"/>
          <w:sz w:val="32"/>
          <w:szCs w:val="32"/>
        </w:rPr>
        <w:t>市生态环境局</w:t>
      </w:r>
    </w:p>
    <w:tbl>
      <w:tblPr>
        <w:tblW w:w="139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1"/>
        <w:gridCol w:w="1127"/>
        <w:gridCol w:w="3594"/>
        <w:gridCol w:w="1701"/>
        <w:gridCol w:w="1417"/>
        <w:gridCol w:w="5414"/>
      </w:tblGrid>
      <w:tr w:rsidR="00302F59" w:rsidTr="00347AC3">
        <w:trPr>
          <w:trHeight w:val="454"/>
          <w:tblHeader/>
          <w:jc w:val="center"/>
        </w:trPr>
        <w:tc>
          <w:tcPr>
            <w:tcW w:w="651" w:type="dxa"/>
            <w:noWrap/>
            <w:vAlign w:val="center"/>
          </w:tcPr>
          <w:p w:rsidR="00302F59" w:rsidRDefault="00302F59">
            <w:pPr>
              <w:spacing w:line="300" w:lineRule="exact"/>
              <w:jc w:val="center"/>
              <w:rPr>
                <w:rFonts w:ascii="黑体" w:eastAsia="黑体" w:hAnsi="黑体" w:cs="Times New Roman"/>
                <w:bCs/>
                <w:kern w:val="0"/>
                <w:szCs w:val="21"/>
              </w:rPr>
            </w:pPr>
            <w:r>
              <w:rPr>
                <w:rFonts w:ascii="黑体" w:eastAsia="黑体" w:hAnsi="黑体" w:cs="Times New Roman" w:hint="eastAsia"/>
                <w:bCs/>
                <w:kern w:val="0"/>
                <w:szCs w:val="21"/>
              </w:rPr>
              <w:t>序号</w:t>
            </w:r>
          </w:p>
        </w:tc>
        <w:tc>
          <w:tcPr>
            <w:tcW w:w="1127" w:type="dxa"/>
            <w:noWrap/>
            <w:vAlign w:val="center"/>
          </w:tcPr>
          <w:p w:rsidR="00302F59" w:rsidRDefault="00302F59">
            <w:pPr>
              <w:spacing w:line="300" w:lineRule="exact"/>
              <w:jc w:val="center"/>
              <w:rPr>
                <w:rFonts w:ascii="黑体" w:eastAsia="黑体" w:hAnsi="黑体" w:cs="Times New Roman"/>
                <w:bCs/>
                <w:kern w:val="0"/>
                <w:szCs w:val="21"/>
              </w:rPr>
            </w:pPr>
            <w:r>
              <w:rPr>
                <w:rFonts w:ascii="黑体" w:eastAsia="黑体" w:hAnsi="黑体" w:cs="Times New Roman" w:hint="eastAsia"/>
                <w:bCs/>
                <w:kern w:val="0"/>
                <w:szCs w:val="21"/>
              </w:rPr>
              <w:t>名称</w:t>
            </w:r>
          </w:p>
        </w:tc>
        <w:tc>
          <w:tcPr>
            <w:tcW w:w="3594" w:type="dxa"/>
            <w:noWrap/>
            <w:vAlign w:val="center"/>
          </w:tcPr>
          <w:p w:rsidR="00302F59" w:rsidRDefault="00302F59">
            <w:pPr>
              <w:spacing w:line="300" w:lineRule="exact"/>
              <w:jc w:val="center"/>
              <w:rPr>
                <w:rFonts w:ascii="黑体" w:eastAsia="黑体" w:hAnsi="黑体" w:cs="Times New Roman"/>
                <w:bCs/>
                <w:kern w:val="0"/>
                <w:szCs w:val="21"/>
              </w:rPr>
            </w:pPr>
            <w:r>
              <w:rPr>
                <w:rFonts w:ascii="黑体" w:eastAsia="黑体" w:hAnsi="黑体" w:cs="Times New Roman" w:hint="eastAsia"/>
                <w:bCs/>
                <w:kern w:val="0"/>
                <w:szCs w:val="21"/>
              </w:rPr>
              <w:t>工作任务</w:t>
            </w:r>
          </w:p>
        </w:tc>
        <w:tc>
          <w:tcPr>
            <w:tcW w:w="1701" w:type="dxa"/>
            <w:noWrap/>
            <w:vAlign w:val="center"/>
          </w:tcPr>
          <w:p w:rsidR="00302F59" w:rsidRDefault="00302F59">
            <w:pPr>
              <w:spacing w:line="300" w:lineRule="exact"/>
              <w:jc w:val="center"/>
              <w:rPr>
                <w:rFonts w:ascii="黑体" w:eastAsia="黑体" w:hAnsi="黑体" w:cs="Times New Roman"/>
                <w:bCs/>
                <w:kern w:val="0"/>
                <w:szCs w:val="21"/>
              </w:rPr>
            </w:pPr>
            <w:r>
              <w:rPr>
                <w:rFonts w:ascii="黑体" w:eastAsia="黑体" w:hAnsi="黑体" w:cs="Times New Roman" w:hint="eastAsia"/>
                <w:bCs/>
                <w:kern w:val="0"/>
                <w:szCs w:val="21"/>
              </w:rPr>
              <w:t>牵头单位</w:t>
            </w:r>
          </w:p>
        </w:tc>
        <w:tc>
          <w:tcPr>
            <w:tcW w:w="1417" w:type="dxa"/>
            <w:noWrap/>
            <w:vAlign w:val="center"/>
          </w:tcPr>
          <w:p w:rsidR="00302F59" w:rsidRDefault="00302F59">
            <w:pPr>
              <w:spacing w:line="300" w:lineRule="exact"/>
              <w:jc w:val="center"/>
              <w:rPr>
                <w:rFonts w:ascii="黑体" w:eastAsia="黑体" w:hAnsi="黑体" w:cs="Times New Roman"/>
                <w:bCs/>
                <w:kern w:val="0"/>
                <w:szCs w:val="21"/>
              </w:rPr>
            </w:pPr>
            <w:r>
              <w:rPr>
                <w:rFonts w:ascii="黑体" w:eastAsia="黑体" w:hAnsi="黑体" w:cs="Times New Roman" w:hint="eastAsia"/>
                <w:bCs/>
                <w:kern w:val="0"/>
                <w:szCs w:val="21"/>
              </w:rPr>
              <w:t>主要配合单位</w:t>
            </w:r>
          </w:p>
        </w:tc>
        <w:tc>
          <w:tcPr>
            <w:tcW w:w="5414" w:type="dxa"/>
            <w:vAlign w:val="center"/>
          </w:tcPr>
          <w:p w:rsidR="00302F59" w:rsidRDefault="00302F59">
            <w:pPr>
              <w:spacing w:line="300" w:lineRule="exact"/>
              <w:jc w:val="center"/>
              <w:rPr>
                <w:rFonts w:ascii="黑体" w:eastAsia="黑体" w:hAnsi="黑体" w:cs="Times New Roman"/>
                <w:bCs/>
                <w:kern w:val="0"/>
                <w:szCs w:val="21"/>
              </w:rPr>
            </w:pPr>
            <w:bookmarkStart w:id="0" w:name="_GoBack"/>
            <w:bookmarkEnd w:id="0"/>
            <w:r>
              <w:rPr>
                <w:rFonts w:ascii="黑体" w:eastAsia="黑体" w:hAnsi="黑体" w:hint="eastAsia"/>
              </w:rPr>
              <w:t>上半年进展情况</w:t>
            </w:r>
          </w:p>
        </w:tc>
      </w:tr>
      <w:tr w:rsidR="00302F59" w:rsidTr="00347AC3">
        <w:trPr>
          <w:trHeight w:val="423"/>
          <w:jc w:val="center"/>
        </w:trPr>
        <w:tc>
          <w:tcPr>
            <w:tcW w:w="8490" w:type="dxa"/>
            <w:gridSpan w:val="5"/>
            <w:noWrap/>
            <w:vAlign w:val="center"/>
          </w:tcPr>
          <w:p w:rsidR="00302F59" w:rsidRDefault="00302F59">
            <w:pPr>
              <w:spacing w:line="300" w:lineRule="exact"/>
              <w:rPr>
                <w:rFonts w:ascii="黑体" w:eastAsia="黑体" w:hAnsi="黑体" w:cs="Times New Roman"/>
                <w:kern w:val="0"/>
                <w:szCs w:val="21"/>
              </w:rPr>
            </w:pPr>
            <w:r>
              <w:rPr>
                <w:rFonts w:ascii="黑体" w:eastAsia="黑体" w:hAnsi="黑体" w:cs="Times New Roman" w:hint="eastAsia"/>
                <w:kern w:val="0"/>
                <w:szCs w:val="21"/>
              </w:rPr>
              <w:t>一、经济社会发展主要预期目标</w:t>
            </w:r>
          </w:p>
        </w:tc>
        <w:tc>
          <w:tcPr>
            <w:tcW w:w="5414" w:type="dxa"/>
            <w:vAlign w:val="center"/>
          </w:tcPr>
          <w:p w:rsidR="00302F59" w:rsidRDefault="00302F59">
            <w:pPr>
              <w:spacing w:line="300" w:lineRule="exact"/>
              <w:rPr>
                <w:rFonts w:ascii="黑体" w:eastAsia="黑体" w:hAnsi="黑体" w:cs="Times New Roman"/>
                <w:kern w:val="0"/>
                <w:szCs w:val="21"/>
              </w:rPr>
            </w:pPr>
          </w:p>
        </w:tc>
      </w:tr>
      <w:tr w:rsidR="00302F59" w:rsidTr="00A67D0D">
        <w:trPr>
          <w:trHeight w:val="2688"/>
          <w:jc w:val="center"/>
        </w:trPr>
        <w:tc>
          <w:tcPr>
            <w:tcW w:w="651" w:type="dxa"/>
            <w:vMerge w:val="restart"/>
            <w:noWrap/>
            <w:vAlign w:val="center"/>
          </w:tcPr>
          <w:p w:rsidR="00302F59" w:rsidRDefault="00302F59">
            <w:pPr>
              <w:spacing w:line="300" w:lineRule="exact"/>
              <w:jc w:val="center"/>
              <w:rPr>
                <w:rFonts w:ascii="仿宋_GB2312" w:eastAsia="仿宋_GB2312" w:hAnsi="Times New Roman" w:cs="Times New Roman"/>
                <w:kern w:val="0"/>
                <w:szCs w:val="21"/>
              </w:rPr>
            </w:pPr>
          </w:p>
        </w:tc>
        <w:tc>
          <w:tcPr>
            <w:tcW w:w="1127" w:type="dxa"/>
            <w:vMerge w:val="restart"/>
            <w:noWrap/>
            <w:vAlign w:val="center"/>
          </w:tcPr>
          <w:p w:rsidR="00302F59" w:rsidRPr="00974479" w:rsidRDefault="00302F59">
            <w:pPr>
              <w:spacing w:line="300" w:lineRule="exact"/>
              <w:jc w:val="center"/>
              <w:rPr>
                <w:rFonts w:ascii="仿宋_GB2312" w:eastAsia="仿宋_GB2312" w:hAnsi="Times New Roman" w:cs="Times New Roman"/>
                <w:kern w:val="0"/>
                <w:szCs w:val="21"/>
              </w:rPr>
            </w:pPr>
          </w:p>
        </w:tc>
        <w:tc>
          <w:tcPr>
            <w:tcW w:w="3594" w:type="dxa"/>
            <w:noWrap/>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PM</w:t>
            </w:r>
            <w:r w:rsidRPr="00974479">
              <w:rPr>
                <w:rFonts w:ascii="仿宋_GB2312" w:eastAsia="仿宋_GB2312" w:hAnsi="Times New Roman" w:cs="Times New Roman" w:hint="eastAsia"/>
                <w:kern w:val="0"/>
                <w:szCs w:val="21"/>
                <w:vertAlign w:val="subscript"/>
              </w:rPr>
              <w:t>2.5</w:t>
            </w:r>
            <w:r w:rsidRPr="00974479">
              <w:rPr>
                <w:rFonts w:ascii="仿宋_GB2312" w:eastAsia="仿宋_GB2312" w:hAnsi="Times New Roman" w:cs="Times New Roman" w:hint="eastAsia"/>
                <w:kern w:val="0"/>
                <w:szCs w:val="21"/>
              </w:rPr>
              <w:t>浓度完成省下达任务</w:t>
            </w:r>
          </w:p>
        </w:tc>
        <w:tc>
          <w:tcPr>
            <w:tcW w:w="1701" w:type="dxa"/>
            <w:noWrap/>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市生态环境局</w:t>
            </w:r>
          </w:p>
        </w:tc>
        <w:tc>
          <w:tcPr>
            <w:tcW w:w="1417" w:type="dxa"/>
            <w:noWrap/>
            <w:vAlign w:val="center"/>
          </w:tcPr>
          <w:p w:rsidR="00302F59" w:rsidRPr="00974479" w:rsidRDefault="00302F59">
            <w:pPr>
              <w:spacing w:line="300" w:lineRule="exact"/>
              <w:rPr>
                <w:rFonts w:ascii="仿宋_GB2312" w:eastAsia="仿宋_GB2312" w:hAnsi="Times New Roman" w:cs="Times New Roman"/>
                <w:kern w:val="0"/>
                <w:szCs w:val="21"/>
              </w:rPr>
            </w:pPr>
          </w:p>
        </w:tc>
        <w:tc>
          <w:tcPr>
            <w:tcW w:w="5414" w:type="dxa"/>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印发《苏州市2023年大气污染防治计划》，截至6月底，共完成项目2474项，完成率84.1%，</w:t>
            </w:r>
            <w:r w:rsidRPr="00974479">
              <w:rPr>
                <w:rFonts w:ascii="仿宋_GB2312" w:eastAsia="仿宋_GB2312" w:hAnsi="Times New Roman" w:cs="Times New Roman"/>
                <w:kern w:val="0"/>
                <w:szCs w:val="21"/>
              </w:rPr>
              <w:t>累计淘汰国三及以下排放标准柴油货车8973辆</w:t>
            </w:r>
            <w:r w:rsidRPr="00974479">
              <w:rPr>
                <w:rFonts w:ascii="仿宋_GB2312" w:eastAsia="仿宋_GB2312" w:hAnsi="Times New Roman" w:cs="Times New Roman" w:hint="eastAsia"/>
                <w:kern w:val="0"/>
                <w:szCs w:val="21"/>
              </w:rPr>
              <w:t>。推进钢铁企业超低排放改造，</w:t>
            </w:r>
            <w:r w:rsidRPr="00974479">
              <w:rPr>
                <w:rFonts w:ascii="仿宋_GB2312" w:eastAsia="仿宋_GB2312" w:hAnsi="Times New Roman" w:cs="Times New Roman"/>
                <w:kern w:val="0"/>
                <w:szCs w:val="21"/>
              </w:rPr>
              <w:t>全省率先累计4家钢铁企业全部完成评估监测和公示。</w:t>
            </w:r>
            <w:r w:rsidRPr="00974479">
              <w:rPr>
                <w:rFonts w:ascii="仿宋_GB2312" w:eastAsia="仿宋_GB2312" w:hAnsi="Times New Roman" w:cs="Times New Roman" w:hint="eastAsia"/>
                <w:kern w:val="0"/>
                <w:szCs w:val="21"/>
              </w:rPr>
              <w:t>完成</w:t>
            </w:r>
            <w:r w:rsidRPr="00974479">
              <w:rPr>
                <w:rFonts w:ascii="仿宋_GB2312" w:eastAsia="仿宋_GB2312" w:hAnsi="Times New Roman" w:cs="Times New Roman"/>
                <w:kern w:val="0"/>
                <w:szCs w:val="21"/>
              </w:rPr>
              <w:t>全市</w:t>
            </w:r>
            <w:r w:rsidRPr="00974479">
              <w:rPr>
                <w:rFonts w:ascii="仿宋_GB2312" w:eastAsia="仿宋_GB2312" w:hAnsi="Times New Roman" w:cs="Times New Roman" w:hint="eastAsia"/>
                <w:kern w:val="0"/>
                <w:szCs w:val="21"/>
              </w:rPr>
              <w:t>12</w:t>
            </w:r>
            <w:r w:rsidRPr="00974479">
              <w:rPr>
                <w:rFonts w:ascii="仿宋_GB2312" w:eastAsia="仿宋_GB2312" w:hAnsi="Times New Roman" w:cs="Times New Roman"/>
                <w:kern w:val="0"/>
                <w:szCs w:val="21"/>
              </w:rPr>
              <w:t>台煤电机组全负荷脱硝改造。33个乡镇（街道）开展服务工作全市77家排放大户均常态化执行两级自愿最优减排</w:t>
            </w:r>
            <w:r w:rsidRPr="00974479">
              <w:rPr>
                <w:rFonts w:ascii="仿宋_GB2312" w:eastAsia="仿宋_GB2312" w:hAnsi="Times New Roman" w:cs="Times New Roman" w:hint="eastAsia"/>
                <w:kern w:val="0"/>
                <w:szCs w:val="21"/>
              </w:rPr>
              <w:t>措施</w:t>
            </w:r>
            <w:r w:rsidRPr="00974479">
              <w:rPr>
                <w:rFonts w:ascii="仿宋_GB2312" w:eastAsia="仿宋_GB2312" w:hAnsi="Times New Roman" w:cs="Times New Roman"/>
                <w:kern w:val="0"/>
                <w:szCs w:val="21"/>
              </w:rPr>
              <w:t>，最大限度压降排放总量</w:t>
            </w:r>
            <w:r w:rsidRPr="00974479">
              <w:rPr>
                <w:rFonts w:ascii="仿宋_GB2312" w:eastAsia="仿宋_GB2312" w:hAnsi="Times New Roman" w:cs="Times New Roman" w:hint="eastAsia"/>
                <w:kern w:val="0"/>
                <w:szCs w:val="21"/>
              </w:rPr>
              <w:t>。1-6月份，</w:t>
            </w:r>
            <w:r w:rsidRPr="00974479">
              <w:rPr>
                <w:rFonts w:ascii="仿宋_GB2312" w:eastAsia="仿宋_GB2312" w:hAnsi="Times New Roman" w:cs="Times New Roman"/>
                <w:kern w:val="0"/>
                <w:szCs w:val="21"/>
              </w:rPr>
              <w:t>我市PM2.5浓度为31.9微克/立方米，同比下降3.0%。</w:t>
            </w:r>
          </w:p>
        </w:tc>
      </w:tr>
      <w:tr w:rsidR="00302F59" w:rsidTr="00347AC3">
        <w:trPr>
          <w:jc w:val="center"/>
        </w:trPr>
        <w:tc>
          <w:tcPr>
            <w:tcW w:w="651" w:type="dxa"/>
            <w:vMerge/>
            <w:noWrap/>
            <w:vAlign w:val="center"/>
          </w:tcPr>
          <w:p w:rsidR="00302F59" w:rsidRDefault="00302F59">
            <w:pPr>
              <w:spacing w:line="300" w:lineRule="exact"/>
              <w:jc w:val="center"/>
              <w:rPr>
                <w:rFonts w:ascii="仿宋_GB2312" w:eastAsia="仿宋_GB2312" w:hAnsi="Times New Roman" w:cs="Times New Roman"/>
                <w:kern w:val="0"/>
                <w:szCs w:val="21"/>
              </w:rPr>
            </w:pPr>
          </w:p>
        </w:tc>
        <w:tc>
          <w:tcPr>
            <w:tcW w:w="1127" w:type="dxa"/>
            <w:vMerge/>
            <w:noWrap/>
            <w:vAlign w:val="center"/>
          </w:tcPr>
          <w:p w:rsidR="00302F59" w:rsidRPr="00974479" w:rsidRDefault="00302F59">
            <w:pPr>
              <w:spacing w:line="300" w:lineRule="exact"/>
              <w:jc w:val="center"/>
              <w:rPr>
                <w:rFonts w:ascii="仿宋_GB2312" w:eastAsia="仿宋_GB2312" w:hAnsi="Times New Roman" w:cs="Times New Roman"/>
                <w:kern w:val="0"/>
                <w:szCs w:val="21"/>
              </w:rPr>
            </w:pPr>
          </w:p>
        </w:tc>
        <w:tc>
          <w:tcPr>
            <w:tcW w:w="3594" w:type="dxa"/>
            <w:noWrap/>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空气质量优良天数比例完成省下达任务</w:t>
            </w:r>
          </w:p>
        </w:tc>
        <w:tc>
          <w:tcPr>
            <w:tcW w:w="1701" w:type="dxa"/>
            <w:noWrap/>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市生态环境局</w:t>
            </w:r>
          </w:p>
        </w:tc>
        <w:tc>
          <w:tcPr>
            <w:tcW w:w="1417" w:type="dxa"/>
            <w:noWrap/>
            <w:vAlign w:val="center"/>
          </w:tcPr>
          <w:p w:rsidR="00302F59" w:rsidRPr="00974479" w:rsidRDefault="00302F59">
            <w:pPr>
              <w:spacing w:line="300" w:lineRule="exact"/>
              <w:rPr>
                <w:rFonts w:ascii="仿宋_GB2312" w:eastAsia="仿宋_GB2312" w:hAnsi="Times New Roman" w:cs="Times New Roman"/>
                <w:kern w:val="0"/>
                <w:szCs w:val="21"/>
              </w:rPr>
            </w:pPr>
          </w:p>
        </w:tc>
        <w:tc>
          <w:tcPr>
            <w:tcW w:w="5414" w:type="dxa"/>
            <w:vAlign w:val="center"/>
          </w:tcPr>
          <w:p w:rsidR="00302F59" w:rsidRPr="00974479" w:rsidRDefault="00302F59" w:rsidP="006D1A98">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1-6月份，</w:t>
            </w:r>
            <w:r w:rsidRPr="00974479">
              <w:rPr>
                <w:rFonts w:ascii="仿宋_GB2312" w:eastAsia="仿宋_GB2312" w:hAnsi="Times New Roman" w:cs="Times New Roman"/>
                <w:kern w:val="0"/>
                <w:szCs w:val="21"/>
              </w:rPr>
              <w:t>我市</w:t>
            </w:r>
            <w:r w:rsidRPr="00974479">
              <w:rPr>
                <w:rFonts w:ascii="仿宋_GB2312" w:eastAsia="仿宋_GB2312" w:hAnsi="Times New Roman" w:cs="Times New Roman" w:hint="eastAsia"/>
                <w:kern w:val="0"/>
                <w:szCs w:val="21"/>
              </w:rPr>
              <w:t>优良天数比例</w:t>
            </w:r>
            <w:r w:rsidRPr="00974479">
              <w:rPr>
                <w:rFonts w:ascii="仿宋_GB2312" w:eastAsia="仿宋_GB2312" w:hAnsi="Times New Roman" w:cs="Times New Roman"/>
                <w:kern w:val="0"/>
                <w:szCs w:val="21"/>
              </w:rPr>
              <w:t>为</w:t>
            </w:r>
            <w:r w:rsidRPr="00974479">
              <w:rPr>
                <w:rFonts w:ascii="仿宋_GB2312" w:eastAsia="仿宋_GB2312" w:hAnsi="Times New Roman" w:cs="Times New Roman" w:hint="eastAsia"/>
                <w:kern w:val="0"/>
                <w:szCs w:val="21"/>
              </w:rPr>
              <w:t>79.6%</w:t>
            </w:r>
            <w:r w:rsidRPr="00974479">
              <w:rPr>
                <w:rFonts w:ascii="仿宋_GB2312" w:eastAsia="仿宋_GB2312" w:hAnsi="Times New Roman" w:cs="Times New Roman"/>
                <w:kern w:val="0"/>
                <w:szCs w:val="21"/>
              </w:rPr>
              <w:t>，同比</w:t>
            </w:r>
            <w:r w:rsidRPr="00974479">
              <w:rPr>
                <w:rFonts w:ascii="仿宋_GB2312" w:eastAsia="仿宋_GB2312" w:hAnsi="Times New Roman" w:cs="Times New Roman" w:hint="eastAsia"/>
                <w:kern w:val="0"/>
                <w:szCs w:val="21"/>
              </w:rPr>
              <w:t>上升2.3个百分点。</w:t>
            </w:r>
          </w:p>
        </w:tc>
      </w:tr>
      <w:tr w:rsidR="00302F59" w:rsidTr="00347AC3">
        <w:trPr>
          <w:jc w:val="center"/>
        </w:trPr>
        <w:tc>
          <w:tcPr>
            <w:tcW w:w="651" w:type="dxa"/>
            <w:vMerge/>
            <w:noWrap/>
            <w:vAlign w:val="center"/>
          </w:tcPr>
          <w:p w:rsidR="00302F59" w:rsidRDefault="00302F59">
            <w:pPr>
              <w:spacing w:line="300" w:lineRule="exact"/>
              <w:jc w:val="center"/>
              <w:rPr>
                <w:rFonts w:ascii="仿宋_GB2312" w:eastAsia="仿宋_GB2312" w:hAnsi="Times New Roman" w:cs="Times New Roman"/>
                <w:kern w:val="0"/>
                <w:szCs w:val="21"/>
              </w:rPr>
            </w:pPr>
          </w:p>
        </w:tc>
        <w:tc>
          <w:tcPr>
            <w:tcW w:w="1127" w:type="dxa"/>
            <w:vMerge/>
            <w:noWrap/>
            <w:vAlign w:val="center"/>
          </w:tcPr>
          <w:p w:rsidR="00302F59" w:rsidRPr="00974479" w:rsidRDefault="00302F59">
            <w:pPr>
              <w:spacing w:line="300" w:lineRule="exact"/>
              <w:jc w:val="center"/>
              <w:rPr>
                <w:rFonts w:ascii="仿宋_GB2312" w:eastAsia="仿宋_GB2312" w:hAnsi="Times New Roman" w:cs="Times New Roman"/>
                <w:kern w:val="0"/>
                <w:szCs w:val="21"/>
              </w:rPr>
            </w:pPr>
          </w:p>
        </w:tc>
        <w:tc>
          <w:tcPr>
            <w:tcW w:w="3594" w:type="dxa"/>
            <w:noWrap/>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省考地表水达到或优于Ⅲ类水体比例达到93.8%</w:t>
            </w:r>
          </w:p>
        </w:tc>
        <w:tc>
          <w:tcPr>
            <w:tcW w:w="1701" w:type="dxa"/>
            <w:noWrap/>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市生态环境局</w:t>
            </w:r>
          </w:p>
        </w:tc>
        <w:tc>
          <w:tcPr>
            <w:tcW w:w="1417" w:type="dxa"/>
            <w:noWrap/>
            <w:vAlign w:val="center"/>
          </w:tcPr>
          <w:p w:rsidR="00302F59" w:rsidRPr="00974479" w:rsidRDefault="00302F59">
            <w:pPr>
              <w:spacing w:line="300" w:lineRule="exact"/>
              <w:rPr>
                <w:rFonts w:ascii="仿宋_GB2312" w:eastAsia="仿宋_GB2312" w:hAnsi="Times New Roman" w:cs="Times New Roman"/>
                <w:kern w:val="0"/>
                <w:szCs w:val="21"/>
              </w:rPr>
            </w:pPr>
          </w:p>
        </w:tc>
        <w:tc>
          <w:tcPr>
            <w:tcW w:w="5414" w:type="dxa"/>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上半年省考以上断面水质优Ⅲ类水体比例为95%，达到年度目标要求。</w:t>
            </w:r>
          </w:p>
        </w:tc>
      </w:tr>
      <w:tr w:rsidR="00302F59" w:rsidTr="00A67D0D">
        <w:trPr>
          <w:trHeight w:val="1724"/>
          <w:jc w:val="center"/>
        </w:trPr>
        <w:tc>
          <w:tcPr>
            <w:tcW w:w="651" w:type="dxa"/>
            <w:vMerge/>
            <w:noWrap/>
            <w:vAlign w:val="center"/>
          </w:tcPr>
          <w:p w:rsidR="00302F59" w:rsidRDefault="00302F59">
            <w:pPr>
              <w:spacing w:line="300" w:lineRule="exact"/>
              <w:jc w:val="center"/>
              <w:rPr>
                <w:rFonts w:ascii="仿宋_GB2312" w:eastAsia="仿宋_GB2312" w:hAnsi="Times New Roman" w:cs="Times New Roman"/>
                <w:kern w:val="0"/>
                <w:szCs w:val="21"/>
              </w:rPr>
            </w:pPr>
          </w:p>
        </w:tc>
        <w:tc>
          <w:tcPr>
            <w:tcW w:w="1127" w:type="dxa"/>
            <w:vMerge/>
            <w:noWrap/>
            <w:vAlign w:val="center"/>
          </w:tcPr>
          <w:p w:rsidR="00302F59" w:rsidRPr="00974479" w:rsidRDefault="00302F59">
            <w:pPr>
              <w:spacing w:line="300" w:lineRule="exact"/>
              <w:jc w:val="center"/>
              <w:rPr>
                <w:rFonts w:ascii="仿宋_GB2312" w:eastAsia="仿宋_GB2312" w:hAnsi="Times New Roman" w:cs="Times New Roman"/>
                <w:kern w:val="0"/>
                <w:szCs w:val="21"/>
              </w:rPr>
            </w:pPr>
          </w:p>
        </w:tc>
        <w:tc>
          <w:tcPr>
            <w:tcW w:w="3594" w:type="dxa"/>
            <w:noWrap/>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主要污染物排放总量削减完成省下达任务</w:t>
            </w:r>
          </w:p>
        </w:tc>
        <w:tc>
          <w:tcPr>
            <w:tcW w:w="1701" w:type="dxa"/>
            <w:noWrap/>
            <w:vAlign w:val="center"/>
          </w:tcPr>
          <w:p w:rsidR="00302F59" w:rsidRPr="00974479" w:rsidRDefault="00302F59">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市生态环境局</w:t>
            </w:r>
          </w:p>
        </w:tc>
        <w:tc>
          <w:tcPr>
            <w:tcW w:w="1417" w:type="dxa"/>
            <w:noWrap/>
            <w:vAlign w:val="center"/>
          </w:tcPr>
          <w:p w:rsidR="00302F59" w:rsidRPr="00974479" w:rsidRDefault="00302F59">
            <w:pPr>
              <w:spacing w:line="300" w:lineRule="exact"/>
              <w:rPr>
                <w:rFonts w:ascii="仿宋_GB2312" w:eastAsia="仿宋_GB2312" w:hAnsi="Times New Roman" w:cs="Times New Roman"/>
                <w:kern w:val="0"/>
                <w:szCs w:val="21"/>
              </w:rPr>
            </w:pPr>
          </w:p>
        </w:tc>
        <w:tc>
          <w:tcPr>
            <w:tcW w:w="5414" w:type="dxa"/>
            <w:vAlign w:val="center"/>
          </w:tcPr>
          <w:p w:rsidR="00302F59" w:rsidRPr="00974479" w:rsidRDefault="00302F59" w:rsidP="00A67D0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kern w:val="0"/>
                <w:szCs w:val="21"/>
              </w:rPr>
              <w:t>以项目减排为抓手，加快推动实施产能淘汰压减、排放大户深度治理提标、VOCs综合治理、移动源治理、扬尘控制等</w:t>
            </w:r>
            <w:r w:rsidRPr="00974479">
              <w:rPr>
                <w:rFonts w:ascii="仿宋_GB2312" w:eastAsia="仿宋_GB2312" w:hAnsi="Times New Roman" w:cs="Times New Roman" w:hint="eastAsia"/>
                <w:kern w:val="0"/>
                <w:szCs w:val="21"/>
              </w:rPr>
              <w:t>2941</w:t>
            </w:r>
            <w:r w:rsidRPr="00974479">
              <w:rPr>
                <w:rFonts w:ascii="仿宋_GB2312" w:eastAsia="仿宋_GB2312" w:hAnsi="Times New Roman" w:cs="Times New Roman"/>
                <w:kern w:val="0"/>
                <w:szCs w:val="21"/>
              </w:rPr>
              <w:t>项年度治气工程项目，</w:t>
            </w:r>
            <w:r w:rsidRPr="00974479">
              <w:rPr>
                <w:rFonts w:ascii="仿宋_GB2312" w:eastAsia="仿宋_GB2312" w:hAnsi="Times New Roman" w:cs="Times New Roman" w:hint="eastAsia"/>
                <w:kern w:val="0"/>
                <w:szCs w:val="21"/>
              </w:rPr>
              <w:t>有效保障大气治理项目的高质量、全覆盖。</w:t>
            </w:r>
            <w:r w:rsidRPr="00974479">
              <w:rPr>
                <w:rFonts w:ascii="仿宋_GB2312" w:eastAsia="仿宋_GB2312" w:hAnsi="Times New Roman" w:cs="Times New Roman"/>
                <w:kern w:val="0"/>
                <w:szCs w:val="21"/>
              </w:rPr>
              <w:t>截至</w:t>
            </w:r>
            <w:r w:rsidRPr="00974479">
              <w:rPr>
                <w:rFonts w:ascii="仿宋_GB2312" w:eastAsia="仿宋_GB2312" w:hAnsi="Times New Roman" w:cs="Times New Roman" w:hint="eastAsia"/>
                <w:kern w:val="0"/>
                <w:szCs w:val="21"/>
              </w:rPr>
              <w:t>6</w:t>
            </w:r>
            <w:r w:rsidRPr="00974479">
              <w:rPr>
                <w:rFonts w:ascii="仿宋_GB2312" w:eastAsia="仿宋_GB2312" w:hAnsi="Times New Roman" w:cs="Times New Roman"/>
                <w:kern w:val="0"/>
                <w:szCs w:val="21"/>
              </w:rPr>
              <w:t>月底，全市</w:t>
            </w:r>
            <w:r w:rsidRPr="00974479">
              <w:rPr>
                <w:rFonts w:ascii="仿宋_GB2312" w:eastAsia="仿宋_GB2312" w:hAnsi="Times New Roman" w:cs="Times New Roman" w:hint="eastAsia"/>
                <w:kern w:val="0"/>
                <w:szCs w:val="21"/>
              </w:rPr>
              <w:t>已</w:t>
            </w:r>
            <w:r w:rsidRPr="00974479">
              <w:rPr>
                <w:rFonts w:ascii="仿宋_GB2312" w:eastAsia="仿宋_GB2312" w:hAnsi="Times New Roman" w:cs="Times New Roman"/>
                <w:kern w:val="0"/>
                <w:szCs w:val="21"/>
              </w:rPr>
              <w:t>完成年度工程项目</w:t>
            </w:r>
            <w:r w:rsidRPr="00974479">
              <w:rPr>
                <w:rFonts w:ascii="仿宋_GB2312" w:eastAsia="仿宋_GB2312" w:hAnsi="Times New Roman" w:cs="Times New Roman" w:hint="eastAsia"/>
                <w:kern w:val="0"/>
                <w:szCs w:val="21"/>
              </w:rPr>
              <w:t>2474</w:t>
            </w:r>
            <w:r w:rsidRPr="00974479">
              <w:rPr>
                <w:rFonts w:ascii="仿宋_GB2312" w:eastAsia="仿宋_GB2312" w:hAnsi="Times New Roman" w:cs="Times New Roman"/>
                <w:kern w:val="0"/>
                <w:szCs w:val="21"/>
              </w:rPr>
              <w:t>项，完成率</w:t>
            </w:r>
            <w:r w:rsidRPr="00974479">
              <w:rPr>
                <w:rFonts w:ascii="仿宋_GB2312" w:eastAsia="仿宋_GB2312" w:hAnsi="Times New Roman" w:cs="Times New Roman" w:hint="eastAsia"/>
                <w:kern w:val="0"/>
                <w:szCs w:val="21"/>
              </w:rPr>
              <w:t>84.1</w:t>
            </w:r>
            <w:r w:rsidRPr="00974479">
              <w:rPr>
                <w:rFonts w:ascii="仿宋_GB2312" w:eastAsia="仿宋_GB2312" w:hAnsi="Times New Roman" w:cs="Times New Roman"/>
                <w:kern w:val="0"/>
                <w:szCs w:val="21"/>
              </w:rPr>
              <w:t>%。</w:t>
            </w:r>
          </w:p>
        </w:tc>
      </w:tr>
      <w:tr w:rsidR="00302F59" w:rsidTr="00347AC3">
        <w:trPr>
          <w:trHeight w:val="454"/>
          <w:jc w:val="center"/>
        </w:trPr>
        <w:tc>
          <w:tcPr>
            <w:tcW w:w="8490" w:type="dxa"/>
            <w:gridSpan w:val="5"/>
            <w:vAlign w:val="center"/>
          </w:tcPr>
          <w:p w:rsidR="00302F59" w:rsidRPr="00974479" w:rsidRDefault="00302F59" w:rsidP="00545ACD">
            <w:pPr>
              <w:spacing w:line="300" w:lineRule="exact"/>
              <w:rPr>
                <w:rFonts w:ascii="黑体" w:eastAsia="黑体" w:hAnsi="黑体" w:cs="黑体"/>
                <w:kern w:val="0"/>
                <w:szCs w:val="21"/>
              </w:rPr>
            </w:pPr>
            <w:r w:rsidRPr="00974479">
              <w:rPr>
                <w:rFonts w:ascii="黑体" w:eastAsia="黑体" w:hAnsi="黑体" w:cs="黑体" w:hint="eastAsia"/>
                <w:kern w:val="0"/>
                <w:szCs w:val="21"/>
              </w:rPr>
              <w:lastRenderedPageBreak/>
              <w:t>九、聚焦绿色低碳，持续加强生态文明建设</w:t>
            </w:r>
          </w:p>
        </w:tc>
        <w:tc>
          <w:tcPr>
            <w:tcW w:w="5414" w:type="dxa"/>
            <w:vAlign w:val="center"/>
          </w:tcPr>
          <w:p w:rsidR="00302F59" w:rsidRPr="00974479" w:rsidRDefault="00302F59" w:rsidP="00545ACD">
            <w:pPr>
              <w:spacing w:line="300" w:lineRule="exact"/>
              <w:rPr>
                <w:rFonts w:ascii="黑体" w:eastAsia="黑体" w:hAnsi="黑体" w:cs="黑体"/>
                <w:kern w:val="0"/>
                <w:szCs w:val="21"/>
              </w:rPr>
            </w:pPr>
          </w:p>
        </w:tc>
      </w:tr>
      <w:tr w:rsidR="00302F59" w:rsidTr="00A67D0D">
        <w:trPr>
          <w:trHeight w:val="5408"/>
          <w:jc w:val="center"/>
        </w:trPr>
        <w:tc>
          <w:tcPr>
            <w:tcW w:w="651" w:type="dxa"/>
            <w:vMerge w:val="restart"/>
            <w:vAlign w:val="center"/>
          </w:tcPr>
          <w:p w:rsidR="00302F59" w:rsidRDefault="00302F59" w:rsidP="00545ACD">
            <w:pPr>
              <w:spacing w:line="3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31</w:t>
            </w:r>
          </w:p>
        </w:tc>
        <w:tc>
          <w:tcPr>
            <w:tcW w:w="1127" w:type="dxa"/>
            <w:vMerge w:val="restart"/>
            <w:vAlign w:val="center"/>
          </w:tcPr>
          <w:p w:rsidR="00302F59" w:rsidRPr="00974479" w:rsidRDefault="00302F59" w:rsidP="00545ACD">
            <w:pPr>
              <w:spacing w:line="300" w:lineRule="exact"/>
              <w:jc w:val="center"/>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持续深入打好污染防治攻坚战</w:t>
            </w:r>
          </w:p>
        </w:tc>
        <w:tc>
          <w:tcPr>
            <w:tcW w:w="3594"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坚持问题导向，确保中央、省第二轮生态环保督察反馈问题整改到位。加大环境基础设施建设力度，强化新污染物治理，创新排污总量管理。加强PM</w:t>
            </w:r>
            <w:r w:rsidRPr="00974479">
              <w:rPr>
                <w:rFonts w:ascii="仿宋_GB2312" w:eastAsia="仿宋_GB2312" w:hAnsi="Times New Roman" w:cs="Times New Roman" w:hint="eastAsia"/>
                <w:kern w:val="0"/>
                <w:szCs w:val="21"/>
                <w:vertAlign w:val="subscript"/>
              </w:rPr>
              <w:t>2.5</w:t>
            </w:r>
            <w:r w:rsidRPr="00974479">
              <w:rPr>
                <w:rFonts w:ascii="仿宋_GB2312" w:eastAsia="仿宋_GB2312" w:hAnsi="Times New Roman" w:cs="Times New Roman" w:hint="eastAsia"/>
                <w:kern w:val="0"/>
                <w:szCs w:val="21"/>
              </w:rPr>
              <w:t>和臭氧协同控制，开展重点行业深度治理、挥发性有机物综合治理、扬尘污染控制等工作，基本消除重污染天气。</w:t>
            </w:r>
          </w:p>
        </w:tc>
        <w:tc>
          <w:tcPr>
            <w:tcW w:w="1701"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市生态环境局</w:t>
            </w:r>
          </w:p>
        </w:tc>
        <w:tc>
          <w:tcPr>
            <w:tcW w:w="1417"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市发改委、市住建局</w:t>
            </w:r>
          </w:p>
        </w:tc>
        <w:tc>
          <w:tcPr>
            <w:tcW w:w="5414" w:type="dxa"/>
            <w:vAlign w:val="center"/>
          </w:tcPr>
          <w:p w:rsidR="00302F59" w:rsidRDefault="00302F59" w:rsidP="00A67D0D">
            <w:pPr>
              <w:adjustRightInd w:val="0"/>
              <w:snapToGrid w:val="0"/>
              <w:textAlignment w:val="baseline"/>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第二轮中央生态环保督察整改任务共9项，截至6月30日，完成整改2项（淘汰印染行业落后产能、钢铁行业超低排放），销号1项（淘汰印染行业落后产能），序时推进7项，进度滞后1项，即苏州绿岸项目问题整改，拟以市委、市政府的名义向省委、省政府申请延期整改；交办信访件289件，已办结284件，阶段性办结5件，办结率98.3%。第二轮省生态环保督察整改任务共60项，完成整改38项，序时推进22项；交办信访件259件，已办结258件，阶段性办结1件，办结率99.6%。</w:t>
            </w:r>
          </w:p>
          <w:p w:rsidR="00302F59" w:rsidRPr="00974479" w:rsidRDefault="00302F59" w:rsidP="00A67D0D">
            <w:pPr>
              <w:adjustRightInd w:val="0"/>
              <w:snapToGrid w:val="0"/>
              <w:textAlignment w:val="baseline"/>
              <w:rPr>
                <w:rFonts w:ascii="仿宋_GB2312" w:eastAsia="仿宋_GB2312"/>
                <w:sz w:val="32"/>
                <w:szCs w:val="32"/>
              </w:rPr>
            </w:pPr>
            <w:r w:rsidRPr="00974479">
              <w:rPr>
                <w:rFonts w:ascii="仿宋_GB2312" w:eastAsia="仿宋_GB2312" w:hAnsi="Times New Roman" w:cs="Times New Roman"/>
                <w:kern w:val="0"/>
                <w:szCs w:val="21"/>
              </w:rPr>
              <w:t>加强攻坚指挥部分析研判决策</w:t>
            </w:r>
            <w:r w:rsidRPr="00974479">
              <w:rPr>
                <w:rFonts w:ascii="仿宋_GB2312" w:eastAsia="仿宋_GB2312" w:hAnsi="Times New Roman" w:cs="Times New Roman" w:hint="eastAsia"/>
                <w:kern w:val="0"/>
                <w:szCs w:val="21"/>
              </w:rPr>
              <w:t>，积极推动重点行业深度治理、VOCs综合治理、清洁原料替代、高标准扬尘整治等工作，合力攻坚</w:t>
            </w:r>
            <w:r>
              <w:rPr>
                <w:rFonts w:ascii="仿宋_GB2312" w:eastAsia="仿宋_GB2312" w:hAnsi="Times New Roman" w:cs="Times New Roman" w:hint="eastAsia"/>
                <w:kern w:val="0"/>
                <w:szCs w:val="21"/>
              </w:rPr>
              <w:t>；</w:t>
            </w:r>
            <w:r w:rsidRPr="00974479">
              <w:rPr>
                <w:rFonts w:ascii="仿宋_GB2312" w:eastAsia="仿宋_GB2312" w:hAnsi="Times New Roman" w:cs="Times New Roman" w:hint="eastAsia"/>
                <w:kern w:val="0"/>
                <w:szCs w:val="21"/>
              </w:rPr>
              <w:t>印发苏州市2023年大气污染防治计划，压紧压实治气责任</w:t>
            </w:r>
            <w:r>
              <w:rPr>
                <w:rFonts w:ascii="仿宋_GB2312" w:eastAsia="仿宋_GB2312" w:hAnsi="Times New Roman" w:cs="Times New Roman" w:hint="eastAsia"/>
                <w:kern w:val="0"/>
                <w:szCs w:val="21"/>
              </w:rPr>
              <w:t>，</w:t>
            </w:r>
            <w:r w:rsidRPr="00974479">
              <w:rPr>
                <w:rFonts w:ascii="仿宋_GB2312" w:eastAsia="仿宋_GB2312" w:hAnsi="Times New Roman" w:cs="Times New Roman" w:hint="eastAsia"/>
                <w:kern w:val="0"/>
                <w:szCs w:val="21"/>
              </w:rPr>
              <w:t>定期发布空气质量改善“红黑榜”，对空气质量排名靠后、责任落实不到位、重点工作推进不利的地区，加大通报、曝光，压实治气责任。</w:t>
            </w:r>
          </w:p>
          <w:p w:rsidR="00347AC3" w:rsidRPr="00974479" w:rsidRDefault="00302F59" w:rsidP="00A67D0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牵头召开新污染物治理工作会议，建立跨部门协调机制，组织开展全市第一轮重点管控新污染物相关化学物质初步调查及重点行业调研帮扶。编制《苏州市新污染物治理实施方案》。</w:t>
            </w:r>
          </w:p>
        </w:tc>
      </w:tr>
      <w:tr w:rsidR="00302F59" w:rsidTr="00347AC3">
        <w:trPr>
          <w:jc w:val="center"/>
        </w:trPr>
        <w:tc>
          <w:tcPr>
            <w:tcW w:w="651" w:type="dxa"/>
            <w:vMerge/>
            <w:vAlign w:val="center"/>
          </w:tcPr>
          <w:p w:rsidR="00302F59" w:rsidRDefault="00302F59" w:rsidP="00545ACD">
            <w:pPr>
              <w:spacing w:line="300" w:lineRule="exact"/>
              <w:jc w:val="center"/>
              <w:rPr>
                <w:rFonts w:ascii="仿宋_GB2312" w:eastAsia="仿宋_GB2312" w:hAnsi="Times New Roman" w:cs="Times New Roman"/>
                <w:kern w:val="0"/>
                <w:szCs w:val="21"/>
              </w:rPr>
            </w:pPr>
          </w:p>
        </w:tc>
        <w:tc>
          <w:tcPr>
            <w:tcW w:w="1127" w:type="dxa"/>
            <w:vMerge/>
            <w:vAlign w:val="center"/>
          </w:tcPr>
          <w:p w:rsidR="00302F59" w:rsidRPr="00974479" w:rsidRDefault="00302F59" w:rsidP="00545ACD">
            <w:pPr>
              <w:spacing w:line="300" w:lineRule="exact"/>
              <w:jc w:val="center"/>
              <w:rPr>
                <w:rFonts w:ascii="仿宋_GB2312" w:eastAsia="仿宋_GB2312" w:hAnsi="Times New Roman" w:cs="Times New Roman"/>
                <w:kern w:val="0"/>
                <w:szCs w:val="21"/>
              </w:rPr>
            </w:pPr>
          </w:p>
        </w:tc>
        <w:tc>
          <w:tcPr>
            <w:tcW w:w="3594"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严格落实长江大保护，实施好长江十年禁渔。</w:t>
            </w:r>
          </w:p>
        </w:tc>
        <w:tc>
          <w:tcPr>
            <w:tcW w:w="1701"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市发改委、市生态环境局、市农业农村局</w:t>
            </w:r>
          </w:p>
        </w:tc>
        <w:tc>
          <w:tcPr>
            <w:tcW w:w="1417"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市交通局、市水务局，张家港市政府、常熟市政府、太仓市政府</w:t>
            </w:r>
          </w:p>
        </w:tc>
        <w:tc>
          <w:tcPr>
            <w:tcW w:w="5414"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编制完成《苏州市深入打好长江保护修复攻坚战行动方案》，目前已完成征求意见，待修改完善后会相关部门联合印发实施。2023年上半年，长江干流水质稳定达到Ⅱ类，通江河道断面全部达到或好于Ⅲ类。</w:t>
            </w:r>
          </w:p>
        </w:tc>
      </w:tr>
      <w:tr w:rsidR="00302F59" w:rsidTr="00347AC3">
        <w:trPr>
          <w:jc w:val="center"/>
        </w:trPr>
        <w:tc>
          <w:tcPr>
            <w:tcW w:w="651" w:type="dxa"/>
            <w:vMerge/>
            <w:vAlign w:val="center"/>
          </w:tcPr>
          <w:p w:rsidR="00302F59" w:rsidRDefault="00302F59" w:rsidP="00545ACD">
            <w:pPr>
              <w:spacing w:line="320" w:lineRule="exact"/>
              <w:jc w:val="center"/>
              <w:rPr>
                <w:rFonts w:ascii="仿宋_GB2312" w:eastAsia="仿宋_GB2312" w:hAnsi="Times New Roman" w:cs="Times New Roman"/>
                <w:kern w:val="0"/>
                <w:szCs w:val="21"/>
              </w:rPr>
            </w:pPr>
          </w:p>
        </w:tc>
        <w:tc>
          <w:tcPr>
            <w:tcW w:w="1127" w:type="dxa"/>
            <w:vMerge/>
            <w:vAlign w:val="center"/>
          </w:tcPr>
          <w:p w:rsidR="00302F59" w:rsidRPr="00974479" w:rsidRDefault="00302F59" w:rsidP="00545ACD">
            <w:pPr>
              <w:spacing w:line="320" w:lineRule="exact"/>
              <w:jc w:val="center"/>
              <w:rPr>
                <w:rFonts w:ascii="仿宋_GB2312" w:eastAsia="仿宋_GB2312" w:hAnsi="Times New Roman" w:cs="Times New Roman"/>
                <w:kern w:val="0"/>
                <w:szCs w:val="21"/>
              </w:rPr>
            </w:pPr>
          </w:p>
        </w:tc>
        <w:tc>
          <w:tcPr>
            <w:tcW w:w="3594" w:type="dxa"/>
            <w:vAlign w:val="center"/>
          </w:tcPr>
          <w:p w:rsidR="00302F59" w:rsidRPr="00974479" w:rsidRDefault="00302F59" w:rsidP="00545AC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深化“河湖长制”改革，强化“一山一策”“一湖一策”保护，推进太湖、阳澄湖、澄湖等重点水体水环境治理，确保国考、省考断面水质全面达标。</w:t>
            </w:r>
          </w:p>
        </w:tc>
        <w:tc>
          <w:tcPr>
            <w:tcW w:w="1701" w:type="dxa"/>
            <w:vAlign w:val="center"/>
          </w:tcPr>
          <w:p w:rsidR="00302F59" w:rsidRPr="00974479" w:rsidRDefault="00302F59" w:rsidP="00545AC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市生态环境局、市水务局、市资源规划局、市园林绿化局</w:t>
            </w:r>
          </w:p>
        </w:tc>
        <w:tc>
          <w:tcPr>
            <w:tcW w:w="1417" w:type="dxa"/>
            <w:vAlign w:val="center"/>
          </w:tcPr>
          <w:p w:rsidR="00302F59" w:rsidRPr="00974479" w:rsidRDefault="00302F59" w:rsidP="00545ACD">
            <w:pPr>
              <w:spacing w:line="320" w:lineRule="exact"/>
              <w:rPr>
                <w:rFonts w:ascii="仿宋_GB2312" w:eastAsia="仿宋_GB2312" w:hAnsi="Times New Roman" w:cs="Times New Roman"/>
                <w:kern w:val="0"/>
                <w:szCs w:val="21"/>
              </w:rPr>
            </w:pPr>
          </w:p>
        </w:tc>
        <w:tc>
          <w:tcPr>
            <w:tcW w:w="5414" w:type="dxa"/>
            <w:vAlign w:val="center"/>
          </w:tcPr>
          <w:p w:rsidR="00302F59" w:rsidRPr="00974479" w:rsidRDefault="00302F59" w:rsidP="00DB7A4B">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明确阳澄湖、淀山湖、元荡、昆承湖、澄湖等重点湖泊断面总磷目标，并纳入对属地高质量考核；排定等重点湖泊“一湖一策”工程项目82个并推动落实。2023年上半年国省考湖泊断面水质均达到省定目标要求。</w:t>
            </w:r>
          </w:p>
          <w:p w:rsidR="00302F59" w:rsidRPr="00974479" w:rsidRDefault="00302F59" w:rsidP="00A67D0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完成《苏州市太湖流域水环境综合治理规划（2021-2035年）》的编制报批工作，已通过政府常务会议审议。开展年度治太重点任务分工方案有关任务调度通报，并督办推进。加快实施治太重点工程项目，2023年共排定8大类78项年度治太项目，年度计划总投资41.8亿元，已完成投资24.6亿元。</w:t>
            </w:r>
          </w:p>
        </w:tc>
      </w:tr>
      <w:tr w:rsidR="00302F59" w:rsidTr="00347AC3">
        <w:trPr>
          <w:jc w:val="center"/>
        </w:trPr>
        <w:tc>
          <w:tcPr>
            <w:tcW w:w="651" w:type="dxa"/>
            <w:vMerge/>
            <w:vAlign w:val="center"/>
          </w:tcPr>
          <w:p w:rsidR="00302F59" w:rsidRDefault="00302F59" w:rsidP="00545ACD">
            <w:pPr>
              <w:spacing w:line="320" w:lineRule="exact"/>
              <w:jc w:val="center"/>
              <w:rPr>
                <w:rFonts w:ascii="仿宋_GB2312" w:eastAsia="仿宋_GB2312" w:hAnsi="Times New Roman" w:cs="Times New Roman"/>
                <w:kern w:val="0"/>
                <w:szCs w:val="21"/>
              </w:rPr>
            </w:pPr>
          </w:p>
        </w:tc>
        <w:tc>
          <w:tcPr>
            <w:tcW w:w="1127" w:type="dxa"/>
            <w:vMerge/>
            <w:vAlign w:val="center"/>
          </w:tcPr>
          <w:p w:rsidR="00302F59" w:rsidRPr="00974479" w:rsidRDefault="00302F59" w:rsidP="00545ACD">
            <w:pPr>
              <w:spacing w:line="320" w:lineRule="exact"/>
              <w:jc w:val="center"/>
              <w:rPr>
                <w:rFonts w:ascii="仿宋_GB2312" w:eastAsia="仿宋_GB2312" w:hAnsi="Times New Roman" w:cs="Times New Roman"/>
                <w:kern w:val="0"/>
                <w:szCs w:val="21"/>
              </w:rPr>
            </w:pPr>
          </w:p>
        </w:tc>
        <w:tc>
          <w:tcPr>
            <w:tcW w:w="3594" w:type="dxa"/>
            <w:vAlign w:val="center"/>
          </w:tcPr>
          <w:p w:rsidR="00302F59" w:rsidRPr="00974479" w:rsidRDefault="00302F59" w:rsidP="00545AC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持续推进“无废城市”建设，提升危险废物处置利用能力。</w:t>
            </w:r>
          </w:p>
        </w:tc>
        <w:tc>
          <w:tcPr>
            <w:tcW w:w="1701" w:type="dxa"/>
            <w:vAlign w:val="center"/>
          </w:tcPr>
          <w:p w:rsidR="00302F59" w:rsidRPr="00974479" w:rsidRDefault="00302F59" w:rsidP="00545AC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市生态环境局</w:t>
            </w:r>
          </w:p>
        </w:tc>
        <w:tc>
          <w:tcPr>
            <w:tcW w:w="1417" w:type="dxa"/>
            <w:vAlign w:val="center"/>
          </w:tcPr>
          <w:p w:rsidR="00302F59" w:rsidRPr="00974479" w:rsidRDefault="00302F59" w:rsidP="00545ACD">
            <w:pPr>
              <w:spacing w:line="320" w:lineRule="exact"/>
              <w:rPr>
                <w:rFonts w:ascii="仿宋_GB2312" w:eastAsia="仿宋_GB2312" w:hAnsi="Times New Roman" w:cs="Times New Roman"/>
                <w:kern w:val="0"/>
                <w:szCs w:val="21"/>
              </w:rPr>
            </w:pPr>
          </w:p>
        </w:tc>
        <w:tc>
          <w:tcPr>
            <w:tcW w:w="5414" w:type="dxa"/>
            <w:vAlign w:val="center"/>
          </w:tcPr>
          <w:p w:rsidR="00302F59" w:rsidRPr="00974479" w:rsidRDefault="00302F59" w:rsidP="00545AC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牵头召开“无废城市”建设工作例会，编制季度简报，制定《苏州市“无废城市”建设三年行动计划（2023-2025年）》，统筹推进各项建设任务。在我市组织召开全省“无废园区”建设现场推进会。指导沙钢集团试点建设钢铁“无废集团”，完成方案编制评审，有序推动集团开展固废排查、分类管理、协同处置、标准制定等工作。巩固危险废物处置利用能力，新增15000吨/年危险废物焚烧处置能力，1800吨/年医疗废物焚烧处置能力。</w:t>
            </w:r>
          </w:p>
        </w:tc>
      </w:tr>
      <w:tr w:rsidR="00302F59" w:rsidTr="00347AC3">
        <w:trPr>
          <w:jc w:val="center"/>
        </w:trPr>
        <w:tc>
          <w:tcPr>
            <w:tcW w:w="651" w:type="dxa"/>
            <w:vMerge/>
            <w:vAlign w:val="center"/>
          </w:tcPr>
          <w:p w:rsidR="00302F59" w:rsidRDefault="00302F59" w:rsidP="00545ACD">
            <w:pPr>
              <w:spacing w:line="320" w:lineRule="exact"/>
              <w:jc w:val="center"/>
              <w:rPr>
                <w:rFonts w:ascii="仿宋_GB2312" w:eastAsia="仿宋_GB2312" w:hAnsi="Times New Roman" w:cs="Times New Roman"/>
                <w:kern w:val="0"/>
                <w:szCs w:val="21"/>
              </w:rPr>
            </w:pPr>
          </w:p>
        </w:tc>
        <w:tc>
          <w:tcPr>
            <w:tcW w:w="1127" w:type="dxa"/>
            <w:vMerge/>
            <w:vAlign w:val="center"/>
          </w:tcPr>
          <w:p w:rsidR="00302F59" w:rsidRPr="00974479" w:rsidRDefault="00302F59" w:rsidP="00545ACD">
            <w:pPr>
              <w:spacing w:line="320" w:lineRule="exact"/>
              <w:jc w:val="center"/>
              <w:rPr>
                <w:rFonts w:ascii="仿宋_GB2312" w:eastAsia="仿宋_GB2312" w:hAnsi="Times New Roman" w:cs="Times New Roman"/>
                <w:kern w:val="0"/>
                <w:szCs w:val="21"/>
              </w:rPr>
            </w:pPr>
          </w:p>
        </w:tc>
        <w:tc>
          <w:tcPr>
            <w:tcW w:w="3594" w:type="dxa"/>
            <w:vAlign w:val="center"/>
          </w:tcPr>
          <w:p w:rsidR="00302F59" w:rsidRPr="00974479" w:rsidRDefault="00302F59" w:rsidP="00545AC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加强生态建设和生物多样性保护，打造环太湖、吴淞江、太浦河、大运河骨干生态廊道，协同共治“漕湖—望虞河—鹅真荡”，构建一河串两湖的“双湖生态客厅”。</w:t>
            </w:r>
          </w:p>
        </w:tc>
        <w:tc>
          <w:tcPr>
            <w:tcW w:w="1701" w:type="dxa"/>
            <w:vAlign w:val="center"/>
          </w:tcPr>
          <w:p w:rsidR="00302F59" w:rsidRPr="00974479" w:rsidRDefault="00302F59" w:rsidP="00545AC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市生态环境局、市水务局</w:t>
            </w:r>
          </w:p>
        </w:tc>
        <w:tc>
          <w:tcPr>
            <w:tcW w:w="1417" w:type="dxa"/>
            <w:vAlign w:val="center"/>
          </w:tcPr>
          <w:p w:rsidR="00302F59" w:rsidRPr="00974479" w:rsidRDefault="00302F59" w:rsidP="00545ACD">
            <w:pPr>
              <w:spacing w:line="320" w:lineRule="exact"/>
              <w:rPr>
                <w:rFonts w:ascii="仿宋_GB2312" w:eastAsia="仿宋_GB2312" w:hAnsi="Times New Roman" w:cs="Times New Roman"/>
                <w:kern w:val="0"/>
                <w:szCs w:val="21"/>
              </w:rPr>
            </w:pPr>
          </w:p>
        </w:tc>
        <w:tc>
          <w:tcPr>
            <w:tcW w:w="5414" w:type="dxa"/>
            <w:vAlign w:val="center"/>
          </w:tcPr>
          <w:p w:rsidR="00302F59" w:rsidRPr="00974479" w:rsidRDefault="00302F59" w:rsidP="00545ACD">
            <w:pPr>
              <w:spacing w:line="32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加强生态建设和生物多样性保护，推进吴中西山“生态岛”试验区建设。</w:t>
            </w:r>
            <w:r>
              <w:rPr>
                <w:rFonts w:ascii="仿宋_GB2312" w:eastAsia="仿宋_GB2312" w:hAnsi="Times New Roman" w:cs="Times New Roman" w:hint="eastAsia"/>
                <w:kern w:val="0"/>
                <w:szCs w:val="21"/>
              </w:rPr>
              <w:t>组织召开“漕湖-鹅真荡”生态绿色一体化协同发展示范区生态环境联保共治座谈会，会商生态环保协同工作计划，形成框架协议备忘录。</w:t>
            </w:r>
          </w:p>
        </w:tc>
      </w:tr>
      <w:tr w:rsidR="00302F59" w:rsidTr="00347AC3">
        <w:trPr>
          <w:jc w:val="center"/>
        </w:trPr>
        <w:tc>
          <w:tcPr>
            <w:tcW w:w="651" w:type="dxa"/>
            <w:vMerge/>
            <w:vAlign w:val="center"/>
          </w:tcPr>
          <w:p w:rsidR="00302F59" w:rsidRDefault="00302F59" w:rsidP="00545ACD">
            <w:pPr>
              <w:spacing w:line="300" w:lineRule="exact"/>
              <w:jc w:val="center"/>
              <w:rPr>
                <w:rFonts w:ascii="仿宋_GB2312" w:eastAsia="仿宋_GB2312" w:hAnsi="Times New Roman" w:cs="Times New Roman"/>
                <w:kern w:val="0"/>
                <w:szCs w:val="21"/>
              </w:rPr>
            </w:pPr>
          </w:p>
        </w:tc>
        <w:tc>
          <w:tcPr>
            <w:tcW w:w="1127" w:type="dxa"/>
            <w:vMerge/>
            <w:vAlign w:val="center"/>
          </w:tcPr>
          <w:p w:rsidR="00302F59" w:rsidRPr="00974479" w:rsidRDefault="00302F59" w:rsidP="00545ACD">
            <w:pPr>
              <w:spacing w:line="300" w:lineRule="exact"/>
              <w:jc w:val="center"/>
              <w:rPr>
                <w:rFonts w:ascii="仿宋_GB2312" w:eastAsia="仿宋_GB2312" w:hAnsi="Times New Roman" w:cs="Times New Roman"/>
                <w:kern w:val="0"/>
                <w:szCs w:val="21"/>
              </w:rPr>
            </w:pPr>
          </w:p>
        </w:tc>
        <w:tc>
          <w:tcPr>
            <w:tcW w:w="3594"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强化能耗强度管控，合理控制能耗总量，坚决遏制“两高”项目盲目发展。大力实施节能减碳工程和智能建造试点，推进工业、建筑、交通等领域清洁低碳转型。</w:t>
            </w:r>
          </w:p>
        </w:tc>
        <w:tc>
          <w:tcPr>
            <w:tcW w:w="1701" w:type="dxa"/>
            <w:vAlign w:val="center"/>
          </w:tcPr>
          <w:p w:rsidR="00302F59" w:rsidRPr="00974479" w:rsidRDefault="00302F59" w:rsidP="00545ACD">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hint="eastAsia"/>
                <w:kern w:val="0"/>
                <w:szCs w:val="21"/>
              </w:rPr>
              <w:t>市发改委、市工信局、市生态环境局、市住建局、市交通局</w:t>
            </w:r>
          </w:p>
        </w:tc>
        <w:tc>
          <w:tcPr>
            <w:tcW w:w="1417" w:type="dxa"/>
            <w:vAlign w:val="center"/>
          </w:tcPr>
          <w:p w:rsidR="00302F59" w:rsidRPr="00974479" w:rsidRDefault="00302F59" w:rsidP="00545ACD">
            <w:pPr>
              <w:spacing w:line="300" w:lineRule="exact"/>
              <w:rPr>
                <w:rFonts w:ascii="仿宋_GB2312" w:eastAsia="仿宋_GB2312" w:hAnsi="Times New Roman" w:cs="Times New Roman"/>
                <w:kern w:val="0"/>
                <w:szCs w:val="21"/>
              </w:rPr>
            </w:pPr>
          </w:p>
        </w:tc>
        <w:tc>
          <w:tcPr>
            <w:tcW w:w="5414" w:type="dxa"/>
            <w:vAlign w:val="center"/>
          </w:tcPr>
          <w:p w:rsidR="00302F59" w:rsidRPr="00974479" w:rsidRDefault="00302F59" w:rsidP="00E647C1">
            <w:pPr>
              <w:spacing w:line="300" w:lineRule="exact"/>
              <w:rPr>
                <w:rFonts w:ascii="仿宋_GB2312" w:eastAsia="仿宋_GB2312" w:hAnsi="Times New Roman" w:cs="Times New Roman"/>
                <w:kern w:val="0"/>
                <w:szCs w:val="21"/>
              </w:rPr>
            </w:pPr>
            <w:r w:rsidRPr="00974479">
              <w:rPr>
                <w:rFonts w:ascii="仿宋_GB2312" w:eastAsia="仿宋_GB2312" w:hAnsi="Times New Roman" w:cs="Times New Roman"/>
                <w:kern w:val="0"/>
                <w:szCs w:val="21"/>
              </w:rPr>
              <w:t>完成202</w:t>
            </w:r>
            <w:r w:rsidRPr="00974479">
              <w:rPr>
                <w:rFonts w:ascii="仿宋_GB2312" w:eastAsia="仿宋_GB2312" w:hAnsi="Times New Roman" w:cs="Times New Roman" w:hint="eastAsia"/>
                <w:kern w:val="0"/>
                <w:szCs w:val="21"/>
              </w:rPr>
              <w:t>3</w:t>
            </w:r>
            <w:r w:rsidRPr="00974479">
              <w:rPr>
                <w:rFonts w:ascii="仿宋_GB2312" w:eastAsia="仿宋_GB2312" w:hAnsi="Times New Roman" w:cs="Times New Roman"/>
                <w:kern w:val="0"/>
                <w:szCs w:val="21"/>
              </w:rPr>
              <w:t>年度企业碳排放报告编制报送及核查工作。强化全国碳市场数据质量日常监管，督促企业按要求制定2023年度碳排放报告数据质量控制计划，按时完成月度存证工作。探索研究符合苏州实际的碳普惠实施路径，围绕低碳出行、低绿色消费、低碳生活等主要环节，开展具有苏州特色的碳普惠核算方法学和场景评价研究。</w:t>
            </w:r>
            <w:r w:rsidRPr="00974479">
              <w:rPr>
                <w:rFonts w:ascii="仿宋_GB2312" w:eastAsia="仿宋_GB2312" w:hAnsi="Times New Roman" w:cs="Times New Roman" w:hint="eastAsia"/>
                <w:kern w:val="0"/>
                <w:szCs w:val="21"/>
              </w:rPr>
              <w:t>组织各地开展2023年“全国低碳日”主题活动。</w:t>
            </w:r>
          </w:p>
        </w:tc>
      </w:tr>
    </w:tbl>
    <w:p w:rsidR="00B00B0F" w:rsidRDefault="00B00B0F"/>
    <w:sectPr w:rsidR="00B00B0F" w:rsidSect="007D4164">
      <w:footerReference w:type="default" r:id="rId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FD0" w:rsidRDefault="003D0FD0" w:rsidP="00347AC3">
      <w:r>
        <w:separator/>
      </w:r>
    </w:p>
  </w:endnote>
  <w:endnote w:type="continuationSeparator" w:id="1">
    <w:p w:rsidR="003D0FD0" w:rsidRDefault="003D0FD0" w:rsidP="00347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汉鼎简大宋">
    <w:altName w:val="Arial Unicode MS"/>
    <w:charset w:val="00"/>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C3" w:rsidRDefault="00347AC3">
    <w:pPr>
      <w:pStyle w:val="a8"/>
      <w:jc w:val="center"/>
    </w:pPr>
    <w:r w:rsidRPr="00347AC3">
      <w:rPr>
        <w:rFonts w:asciiTheme="minorEastAsia" w:hAnsiTheme="minorEastAsia"/>
        <w:sz w:val="32"/>
        <w:szCs w:val="32"/>
      </w:rPr>
      <w:t>—</w:t>
    </w:r>
    <w:sdt>
      <w:sdtPr>
        <w:rPr>
          <w:rFonts w:asciiTheme="minorEastAsia" w:hAnsiTheme="minorEastAsia"/>
          <w:sz w:val="32"/>
          <w:szCs w:val="32"/>
        </w:rPr>
        <w:id w:val="975615579"/>
        <w:docPartObj>
          <w:docPartGallery w:val="Page Numbers (Bottom of Page)"/>
          <w:docPartUnique/>
        </w:docPartObj>
      </w:sdtPr>
      <w:sdtEndPr>
        <w:rPr>
          <w:rFonts w:asciiTheme="minorHAnsi" w:hAnsiTheme="minorHAnsi"/>
          <w:sz w:val="18"/>
          <w:szCs w:val="18"/>
        </w:rPr>
      </w:sdtEndPr>
      <w:sdtContent>
        <w:r w:rsidRPr="00347AC3">
          <w:rPr>
            <w:rFonts w:asciiTheme="minorEastAsia" w:hAnsiTheme="minorEastAsia"/>
            <w:sz w:val="32"/>
            <w:szCs w:val="32"/>
          </w:rPr>
          <w:fldChar w:fldCharType="begin"/>
        </w:r>
        <w:r w:rsidRPr="00347AC3">
          <w:rPr>
            <w:rFonts w:asciiTheme="minorEastAsia" w:hAnsiTheme="minorEastAsia"/>
            <w:sz w:val="32"/>
            <w:szCs w:val="32"/>
          </w:rPr>
          <w:instrText xml:space="preserve"> PAGE   \* MERGEFORMAT </w:instrText>
        </w:r>
        <w:r w:rsidRPr="00347AC3">
          <w:rPr>
            <w:rFonts w:asciiTheme="minorEastAsia" w:hAnsiTheme="minorEastAsia"/>
            <w:sz w:val="32"/>
            <w:szCs w:val="32"/>
          </w:rPr>
          <w:fldChar w:fldCharType="separate"/>
        </w:r>
        <w:r w:rsidR="00A67D0D" w:rsidRPr="00A67D0D">
          <w:rPr>
            <w:rFonts w:asciiTheme="minorEastAsia" w:hAnsiTheme="minorEastAsia"/>
            <w:noProof/>
            <w:sz w:val="32"/>
            <w:szCs w:val="32"/>
            <w:lang w:val="zh-CN"/>
          </w:rPr>
          <w:t>4</w:t>
        </w:r>
        <w:r w:rsidRPr="00347AC3">
          <w:rPr>
            <w:rFonts w:asciiTheme="minorEastAsia" w:hAnsiTheme="minorEastAsia"/>
            <w:sz w:val="32"/>
            <w:szCs w:val="32"/>
          </w:rPr>
          <w:fldChar w:fldCharType="end"/>
        </w:r>
        <w:r w:rsidRPr="00347AC3">
          <w:rPr>
            <w:rFonts w:asciiTheme="minorEastAsia" w:hAnsiTheme="minorEastAsia"/>
            <w:sz w:val="32"/>
            <w:szCs w:val="32"/>
          </w:rPr>
          <w:t>—</w:t>
        </w:r>
      </w:sdtContent>
    </w:sdt>
  </w:p>
  <w:p w:rsidR="00347AC3" w:rsidRDefault="00347A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FD0" w:rsidRDefault="003D0FD0" w:rsidP="00347AC3">
      <w:r>
        <w:separator/>
      </w:r>
    </w:p>
  </w:footnote>
  <w:footnote w:type="continuationSeparator" w:id="1">
    <w:p w:rsidR="003D0FD0" w:rsidRDefault="003D0FD0" w:rsidP="00347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705BA"/>
    <w:multiLevelType w:val="multilevel"/>
    <w:tmpl w:val="548705BA"/>
    <w:lvl w:ilvl="0">
      <w:start w:val="1"/>
      <w:numFmt w:val="japaneseCounting"/>
      <w:pStyle w:val="CharCharCharChar"/>
      <w:lvlText w:val="（%1）"/>
      <w:lvlJc w:val="left"/>
      <w:pPr>
        <w:tabs>
          <w:tab w:val="left" w:pos="1707"/>
        </w:tabs>
        <w:ind w:left="1707" w:hanging="1080"/>
      </w:pPr>
      <w:rPr>
        <w:rFonts w:hint="eastAsia"/>
      </w:rPr>
    </w:lvl>
    <w:lvl w:ilvl="1">
      <w:start w:val="1"/>
      <w:numFmt w:val="lowerLetter"/>
      <w:lvlText w:val="%2)"/>
      <w:lvlJc w:val="left"/>
      <w:pPr>
        <w:tabs>
          <w:tab w:val="left" w:pos="1467"/>
        </w:tabs>
        <w:ind w:left="1467" w:hanging="420"/>
      </w:pPr>
    </w:lvl>
    <w:lvl w:ilvl="2">
      <w:start w:val="1"/>
      <w:numFmt w:val="lowerRoman"/>
      <w:lvlText w:val="%3."/>
      <w:lvlJc w:val="right"/>
      <w:pPr>
        <w:tabs>
          <w:tab w:val="left" w:pos="1887"/>
        </w:tabs>
        <w:ind w:left="1887" w:hanging="420"/>
      </w:pPr>
    </w:lvl>
    <w:lvl w:ilvl="3">
      <w:start w:val="1"/>
      <w:numFmt w:val="decimal"/>
      <w:lvlText w:val="%4."/>
      <w:lvlJc w:val="left"/>
      <w:pPr>
        <w:tabs>
          <w:tab w:val="left" w:pos="2307"/>
        </w:tabs>
        <w:ind w:left="2307" w:hanging="420"/>
      </w:pPr>
    </w:lvl>
    <w:lvl w:ilvl="4">
      <w:start w:val="1"/>
      <w:numFmt w:val="lowerLetter"/>
      <w:lvlText w:val="%5)"/>
      <w:lvlJc w:val="left"/>
      <w:pPr>
        <w:tabs>
          <w:tab w:val="left" w:pos="2727"/>
        </w:tabs>
        <w:ind w:left="2727" w:hanging="420"/>
      </w:pPr>
    </w:lvl>
    <w:lvl w:ilvl="5">
      <w:start w:val="1"/>
      <w:numFmt w:val="lowerRoman"/>
      <w:lvlText w:val="%6."/>
      <w:lvlJc w:val="right"/>
      <w:pPr>
        <w:tabs>
          <w:tab w:val="left" w:pos="3147"/>
        </w:tabs>
        <w:ind w:left="3147" w:hanging="420"/>
      </w:pPr>
    </w:lvl>
    <w:lvl w:ilvl="6">
      <w:start w:val="1"/>
      <w:numFmt w:val="decimal"/>
      <w:lvlText w:val="%7."/>
      <w:lvlJc w:val="left"/>
      <w:pPr>
        <w:tabs>
          <w:tab w:val="left" w:pos="3567"/>
        </w:tabs>
        <w:ind w:left="3567" w:hanging="420"/>
      </w:pPr>
    </w:lvl>
    <w:lvl w:ilvl="7">
      <w:start w:val="1"/>
      <w:numFmt w:val="lowerLetter"/>
      <w:lvlText w:val="%8)"/>
      <w:lvlJc w:val="left"/>
      <w:pPr>
        <w:tabs>
          <w:tab w:val="left" w:pos="3987"/>
        </w:tabs>
        <w:ind w:left="3987" w:hanging="420"/>
      </w:pPr>
    </w:lvl>
    <w:lvl w:ilvl="8">
      <w:start w:val="1"/>
      <w:numFmt w:val="lowerRoman"/>
      <w:lvlText w:val="%9."/>
      <w:lvlJc w:val="right"/>
      <w:pPr>
        <w:tabs>
          <w:tab w:val="left" w:pos="4407"/>
        </w:tabs>
        <w:ind w:left="44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BlYmZkMTc5MTFiMTNlYjA2ODk1ODFiOTQ2ZWI5NDQifQ=="/>
  </w:docVars>
  <w:rsids>
    <w:rsidRoot w:val="00B9509B"/>
    <w:rsid w:val="000240FA"/>
    <w:rsid w:val="000B4267"/>
    <w:rsid w:val="000B72DA"/>
    <w:rsid w:val="000C087C"/>
    <w:rsid w:val="000C0B21"/>
    <w:rsid w:val="000C3D91"/>
    <w:rsid w:val="00137E4C"/>
    <w:rsid w:val="001447C9"/>
    <w:rsid w:val="00155C98"/>
    <w:rsid w:val="00191348"/>
    <w:rsid w:val="001C6052"/>
    <w:rsid w:val="0029078F"/>
    <w:rsid w:val="00302F59"/>
    <w:rsid w:val="00347AC3"/>
    <w:rsid w:val="003810AD"/>
    <w:rsid w:val="003A4B1A"/>
    <w:rsid w:val="003C006A"/>
    <w:rsid w:val="003D0FD0"/>
    <w:rsid w:val="003D3CC2"/>
    <w:rsid w:val="003D68A7"/>
    <w:rsid w:val="004201A9"/>
    <w:rsid w:val="00422A10"/>
    <w:rsid w:val="00494565"/>
    <w:rsid w:val="004E41F8"/>
    <w:rsid w:val="00513185"/>
    <w:rsid w:val="00545ACD"/>
    <w:rsid w:val="005A6E7A"/>
    <w:rsid w:val="005B6FA0"/>
    <w:rsid w:val="006D1A98"/>
    <w:rsid w:val="007D4164"/>
    <w:rsid w:val="007F47F0"/>
    <w:rsid w:val="008A16AA"/>
    <w:rsid w:val="008A2C6F"/>
    <w:rsid w:val="008D15DB"/>
    <w:rsid w:val="00974479"/>
    <w:rsid w:val="00A037BD"/>
    <w:rsid w:val="00A05968"/>
    <w:rsid w:val="00A4626B"/>
    <w:rsid w:val="00A623A5"/>
    <w:rsid w:val="00A67D0D"/>
    <w:rsid w:val="00A86694"/>
    <w:rsid w:val="00AA24D3"/>
    <w:rsid w:val="00AD1066"/>
    <w:rsid w:val="00AF7428"/>
    <w:rsid w:val="00B00B0F"/>
    <w:rsid w:val="00B1261F"/>
    <w:rsid w:val="00B9509B"/>
    <w:rsid w:val="00C37AC5"/>
    <w:rsid w:val="00C97B09"/>
    <w:rsid w:val="00CC2F95"/>
    <w:rsid w:val="00D46F9C"/>
    <w:rsid w:val="00D86EC4"/>
    <w:rsid w:val="00DA03D1"/>
    <w:rsid w:val="00DA194D"/>
    <w:rsid w:val="00DB2D1F"/>
    <w:rsid w:val="00DB7A4B"/>
    <w:rsid w:val="00DF4427"/>
    <w:rsid w:val="00DF57DF"/>
    <w:rsid w:val="00E01B80"/>
    <w:rsid w:val="00E15234"/>
    <w:rsid w:val="00E647C1"/>
    <w:rsid w:val="00EB5085"/>
    <w:rsid w:val="00EE36C0"/>
    <w:rsid w:val="00F91409"/>
    <w:rsid w:val="00FB26B7"/>
    <w:rsid w:val="00FE253E"/>
    <w:rsid w:val="20AB56F0"/>
    <w:rsid w:val="5BF55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1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semiHidden/>
    <w:qFormat/>
    <w:rsid w:val="007D4164"/>
    <w:pPr>
      <w:spacing w:line="560" w:lineRule="atLeast"/>
      <w:ind w:rightChars="-259" w:right="-544"/>
    </w:pPr>
    <w:rPr>
      <w:rFonts w:ascii="黑体" w:eastAsia="黑体" w:hAnsi="Times New Roman" w:cs="Times New Roman"/>
      <w:kern w:val="0"/>
      <w:sz w:val="24"/>
      <w:szCs w:val="32"/>
    </w:rPr>
  </w:style>
  <w:style w:type="paragraph" w:styleId="a3">
    <w:name w:val="Body Text"/>
    <w:basedOn w:val="a"/>
    <w:link w:val="Char"/>
    <w:uiPriority w:val="99"/>
    <w:qFormat/>
    <w:rsid w:val="007D4164"/>
    <w:pPr>
      <w:spacing w:after="120"/>
    </w:pPr>
    <w:rPr>
      <w:rFonts w:ascii="Times New Roman" w:eastAsia="宋体" w:hAnsi="Times New Roman" w:cs="Times New Roman"/>
      <w:szCs w:val="24"/>
    </w:rPr>
  </w:style>
  <w:style w:type="paragraph" w:styleId="a4">
    <w:name w:val="Body Text Indent"/>
    <w:basedOn w:val="a"/>
    <w:link w:val="Char0"/>
    <w:qFormat/>
    <w:rsid w:val="007D4164"/>
    <w:pPr>
      <w:spacing w:line="580" w:lineRule="exact"/>
      <w:ind w:firstLineChars="200" w:firstLine="624"/>
    </w:pPr>
    <w:rPr>
      <w:rFonts w:ascii="Times New Roman" w:eastAsia="仿宋_GB2312" w:hAnsi="Times New Roman" w:cs="Times New Roman"/>
      <w:kern w:val="0"/>
      <w:sz w:val="32"/>
      <w:szCs w:val="32"/>
    </w:rPr>
  </w:style>
  <w:style w:type="paragraph" w:styleId="a5">
    <w:name w:val="Plain Text"/>
    <w:basedOn w:val="a"/>
    <w:link w:val="Char1"/>
    <w:qFormat/>
    <w:rsid w:val="007D4164"/>
    <w:rPr>
      <w:rFonts w:ascii="宋体" w:eastAsia="宋体" w:hAnsi="Courier New" w:cs="Times New Roman"/>
      <w:kern w:val="0"/>
      <w:szCs w:val="20"/>
    </w:rPr>
  </w:style>
  <w:style w:type="paragraph" w:styleId="a6">
    <w:name w:val="Date"/>
    <w:basedOn w:val="a"/>
    <w:next w:val="a"/>
    <w:link w:val="Char2"/>
    <w:qFormat/>
    <w:rsid w:val="007D4164"/>
    <w:pPr>
      <w:adjustRightInd w:val="0"/>
      <w:spacing w:line="312" w:lineRule="atLeast"/>
      <w:jc w:val="right"/>
      <w:textAlignment w:val="baseline"/>
    </w:pPr>
    <w:rPr>
      <w:rFonts w:ascii="Times New Roman" w:eastAsia="宋体" w:hAnsi="Times New Roman" w:cs="Times New Roman"/>
      <w:kern w:val="0"/>
      <w:szCs w:val="20"/>
    </w:rPr>
  </w:style>
  <w:style w:type="paragraph" w:styleId="2">
    <w:name w:val="Body Text Indent 2"/>
    <w:basedOn w:val="a"/>
    <w:link w:val="2Char"/>
    <w:semiHidden/>
    <w:qFormat/>
    <w:rsid w:val="007D4164"/>
    <w:pPr>
      <w:pBdr>
        <w:top w:val="single" w:sz="6" w:space="0" w:color="auto"/>
        <w:bottom w:val="single" w:sz="6" w:space="1" w:color="auto"/>
      </w:pBdr>
      <w:spacing w:line="554" w:lineRule="exact"/>
      <w:ind w:firstLineChars="100" w:firstLine="312"/>
    </w:pPr>
    <w:rPr>
      <w:rFonts w:ascii="仿宋_GB2312" w:eastAsia="仿宋_GB2312" w:hAnsi="Times New Roman" w:cs="Times New Roman"/>
      <w:kern w:val="0"/>
      <w:sz w:val="32"/>
      <w:szCs w:val="32"/>
    </w:rPr>
  </w:style>
  <w:style w:type="paragraph" w:styleId="a7">
    <w:name w:val="Balloon Text"/>
    <w:basedOn w:val="a"/>
    <w:link w:val="Char3"/>
    <w:semiHidden/>
    <w:qFormat/>
    <w:rsid w:val="007D4164"/>
    <w:rPr>
      <w:rFonts w:ascii="Times New Roman" w:eastAsia="宋体" w:hAnsi="Times New Roman" w:cs="Times New Roman"/>
      <w:kern w:val="0"/>
      <w:sz w:val="18"/>
      <w:szCs w:val="18"/>
    </w:rPr>
  </w:style>
  <w:style w:type="paragraph" w:styleId="a8">
    <w:name w:val="footer"/>
    <w:basedOn w:val="a"/>
    <w:link w:val="Char4"/>
    <w:uiPriority w:val="99"/>
    <w:unhideWhenUsed/>
    <w:qFormat/>
    <w:rsid w:val="007D4164"/>
    <w:pPr>
      <w:tabs>
        <w:tab w:val="center" w:pos="4153"/>
        <w:tab w:val="right" w:pos="8306"/>
      </w:tabs>
      <w:snapToGrid w:val="0"/>
      <w:jc w:val="left"/>
    </w:pPr>
    <w:rPr>
      <w:sz w:val="18"/>
      <w:szCs w:val="18"/>
    </w:rPr>
  </w:style>
  <w:style w:type="paragraph" w:styleId="a9">
    <w:name w:val="header"/>
    <w:basedOn w:val="a"/>
    <w:link w:val="Char5"/>
    <w:unhideWhenUsed/>
    <w:qFormat/>
    <w:rsid w:val="007D4164"/>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semiHidden/>
    <w:qFormat/>
    <w:rsid w:val="007D4164"/>
    <w:pPr>
      <w:adjustRightInd w:val="0"/>
      <w:snapToGrid w:val="0"/>
      <w:spacing w:line="520" w:lineRule="atLeast"/>
      <w:ind w:firstLineChars="200" w:firstLine="640"/>
    </w:pPr>
    <w:rPr>
      <w:rFonts w:ascii="黑体" w:eastAsia="黑体" w:hAnsi="Times New Roman" w:cs="Times New Roman"/>
      <w:kern w:val="0"/>
      <w:sz w:val="32"/>
      <w:szCs w:val="32"/>
    </w:rPr>
  </w:style>
  <w:style w:type="paragraph" w:styleId="20">
    <w:name w:val="Body Text 2"/>
    <w:basedOn w:val="a"/>
    <w:link w:val="2Char0"/>
    <w:semiHidden/>
    <w:qFormat/>
    <w:rsid w:val="007D4164"/>
    <w:pPr>
      <w:spacing w:line="580" w:lineRule="exact"/>
      <w:jc w:val="center"/>
    </w:pPr>
    <w:rPr>
      <w:rFonts w:ascii="Times New Roman" w:eastAsia="方正小标宋简体" w:hAnsi="Times New Roman" w:cs="Times New Roman"/>
      <w:kern w:val="0"/>
      <w:sz w:val="44"/>
      <w:szCs w:val="32"/>
    </w:rPr>
  </w:style>
  <w:style w:type="paragraph" w:styleId="aa">
    <w:name w:val="Normal (Web)"/>
    <w:basedOn w:val="a"/>
    <w:qFormat/>
    <w:rsid w:val="007D4164"/>
    <w:pPr>
      <w:widowControl/>
      <w:spacing w:before="100" w:beforeAutospacing="1" w:after="100" w:afterAutospacing="1"/>
      <w:jc w:val="left"/>
    </w:pPr>
    <w:rPr>
      <w:rFonts w:ascii="宋体" w:eastAsia="宋体" w:hAnsi="宋体" w:cs="Times New Roman"/>
      <w:kern w:val="0"/>
      <w:szCs w:val="21"/>
    </w:rPr>
  </w:style>
  <w:style w:type="table" w:styleId="ab">
    <w:name w:val="Table Grid"/>
    <w:basedOn w:val="a1"/>
    <w:uiPriority w:val="59"/>
    <w:qFormat/>
    <w:rsid w:val="007D4164"/>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qFormat/>
    <w:rsid w:val="007D4164"/>
    <w:rPr>
      <w:rFonts w:ascii="Times New Roman" w:eastAsia="宋体"/>
      <w:b/>
      <w:color w:val="000000"/>
      <w:spacing w:val="0"/>
      <w:w w:val="100"/>
      <w:sz w:val="21"/>
      <w:u w:val="none" w:color="000000"/>
      <w:vertAlign w:val="baseline"/>
      <w:lang w:val="en-US" w:eastAsia="zh-CN"/>
    </w:rPr>
  </w:style>
  <w:style w:type="character" w:styleId="ad">
    <w:name w:val="page number"/>
    <w:qFormat/>
    <w:rsid w:val="007D4164"/>
    <w:rPr>
      <w:rFonts w:ascii="Calibri" w:eastAsia="宋体" w:hAnsi="Calibri" w:cs="Times New Roman"/>
    </w:rPr>
  </w:style>
  <w:style w:type="character" w:customStyle="1" w:styleId="Char5">
    <w:name w:val="页眉 Char"/>
    <w:basedOn w:val="a0"/>
    <w:link w:val="a9"/>
    <w:qFormat/>
    <w:rsid w:val="007D4164"/>
    <w:rPr>
      <w:sz w:val="18"/>
      <w:szCs w:val="18"/>
    </w:rPr>
  </w:style>
  <w:style w:type="character" w:customStyle="1" w:styleId="Char4">
    <w:name w:val="页脚 Char"/>
    <w:basedOn w:val="a0"/>
    <w:link w:val="a8"/>
    <w:uiPriority w:val="99"/>
    <w:qFormat/>
    <w:rsid w:val="007D4164"/>
    <w:rPr>
      <w:sz w:val="18"/>
      <w:szCs w:val="18"/>
    </w:rPr>
  </w:style>
  <w:style w:type="character" w:customStyle="1" w:styleId="Char">
    <w:name w:val="正文文本 Char"/>
    <w:basedOn w:val="a0"/>
    <w:link w:val="a3"/>
    <w:qFormat/>
    <w:rsid w:val="007D4164"/>
    <w:rPr>
      <w:rFonts w:ascii="Times New Roman" w:eastAsia="宋体" w:hAnsi="Times New Roman" w:cs="Times New Roman"/>
      <w:szCs w:val="24"/>
    </w:rPr>
  </w:style>
  <w:style w:type="paragraph" w:customStyle="1" w:styleId="ae">
    <w:name w:val="段"/>
    <w:next w:val="a"/>
    <w:qFormat/>
    <w:rsid w:val="007D4164"/>
    <w:pPr>
      <w:autoSpaceDE w:val="0"/>
      <w:autoSpaceDN w:val="0"/>
      <w:ind w:firstLine="200"/>
      <w:jc w:val="both"/>
    </w:pPr>
    <w:rPr>
      <w:rFonts w:ascii="宋体" w:eastAsia="宋体" w:hAnsi="Times New Roman" w:cs="Times New Roman"/>
      <w:sz w:val="21"/>
      <w:szCs w:val="22"/>
    </w:rPr>
  </w:style>
  <w:style w:type="character" w:customStyle="1" w:styleId="Char0">
    <w:name w:val="正文文本缩进 Char"/>
    <w:basedOn w:val="a0"/>
    <w:link w:val="a4"/>
    <w:qFormat/>
    <w:rsid w:val="007D4164"/>
    <w:rPr>
      <w:rFonts w:ascii="Times New Roman" w:eastAsia="仿宋_GB2312" w:hAnsi="Times New Roman" w:cs="Times New Roman"/>
      <w:kern w:val="0"/>
      <w:sz w:val="32"/>
      <w:szCs w:val="32"/>
    </w:rPr>
  </w:style>
  <w:style w:type="character" w:customStyle="1" w:styleId="Char2">
    <w:name w:val="日期 Char"/>
    <w:basedOn w:val="a0"/>
    <w:link w:val="a6"/>
    <w:qFormat/>
    <w:rsid w:val="007D4164"/>
    <w:rPr>
      <w:rFonts w:ascii="Times New Roman" w:eastAsia="宋体" w:hAnsi="Times New Roman" w:cs="Times New Roman"/>
      <w:kern w:val="0"/>
      <w:szCs w:val="20"/>
    </w:rPr>
  </w:style>
  <w:style w:type="character" w:customStyle="1" w:styleId="2Char">
    <w:name w:val="正文文本缩进 2 Char"/>
    <w:basedOn w:val="a0"/>
    <w:link w:val="2"/>
    <w:semiHidden/>
    <w:qFormat/>
    <w:rsid w:val="007D4164"/>
    <w:rPr>
      <w:rFonts w:ascii="仿宋_GB2312" w:eastAsia="仿宋_GB2312" w:hAnsi="Times New Roman" w:cs="Times New Roman"/>
      <w:kern w:val="0"/>
      <w:sz w:val="32"/>
      <w:szCs w:val="32"/>
    </w:rPr>
  </w:style>
  <w:style w:type="character" w:customStyle="1" w:styleId="3Char0">
    <w:name w:val="正文文本缩进 3 Char"/>
    <w:basedOn w:val="a0"/>
    <w:link w:val="30"/>
    <w:semiHidden/>
    <w:qFormat/>
    <w:rsid w:val="007D4164"/>
    <w:rPr>
      <w:rFonts w:ascii="黑体" w:eastAsia="黑体" w:hAnsi="Times New Roman" w:cs="Times New Roman"/>
      <w:kern w:val="0"/>
      <w:sz w:val="32"/>
      <w:szCs w:val="32"/>
    </w:rPr>
  </w:style>
  <w:style w:type="character" w:customStyle="1" w:styleId="Char3">
    <w:name w:val="批注框文本 Char"/>
    <w:basedOn w:val="a0"/>
    <w:link w:val="a7"/>
    <w:semiHidden/>
    <w:qFormat/>
    <w:rsid w:val="007D4164"/>
    <w:rPr>
      <w:rFonts w:ascii="Times New Roman" w:eastAsia="宋体" w:hAnsi="Times New Roman" w:cs="Times New Roman"/>
      <w:kern w:val="0"/>
      <w:sz w:val="18"/>
      <w:szCs w:val="18"/>
    </w:rPr>
  </w:style>
  <w:style w:type="character" w:customStyle="1" w:styleId="richtextmngstyle1">
    <w:name w:val="richtextmngstyle1"/>
    <w:qFormat/>
    <w:rsid w:val="007D4164"/>
    <w:rPr>
      <w:color w:val="000000"/>
      <w:spacing w:val="20"/>
      <w:sz w:val="28"/>
      <w:szCs w:val="28"/>
      <w:u w:val="none"/>
    </w:rPr>
  </w:style>
  <w:style w:type="character" w:customStyle="1" w:styleId="unnamed21">
    <w:name w:val="unnamed21"/>
    <w:qFormat/>
    <w:rsid w:val="007D4164"/>
    <w:rPr>
      <w:sz w:val="24"/>
      <w:szCs w:val="24"/>
      <w:u w:val="none"/>
    </w:rPr>
  </w:style>
  <w:style w:type="character" w:customStyle="1" w:styleId="10p1">
    <w:name w:val="10p1"/>
    <w:qFormat/>
    <w:rsid w:val="007D4164"/>
    <w:rPr>
      <w:sz w:val="21"/>
      <w:szCs w:val="21"/>
    </w:rPr>
  </w:style>
  <w:style w:type="character" w:customStyle="1" w:styleId="3Char">
    <w:name w:val="正文文本 3 Char"/>
    <w:basedOn w:val="a0"/>
    <w:link w:val="3"/>
    <w:semiHidden/>
    <w:qFormat/>
    <w:rsid w:val="007D4164"/>
    <w:rPr>
      <w:rFonts w:ascii="黑体" w:eastAsia="黑体" w:hAnsi="Times New Roman" w:cs="Times New Roman"/>
      <w:kern w:val="0"/>
      <w:sz w:val="24"/>
      <w:szCs w:val="32"/>
    </w:rPr>
  </w:style>
  <w:style w:type="character" w:customStyle="1" w:styleId="2Char0">
    <w:name w:val="正文文本 2 Char"/>
    <w:basedOn w:val="a0"/>
    <w:link w:val="20"/>
    <w:semiHidden/>
    <w:qFormat/>
    <w:rsid w:val="007D4164"/>
    <w:rPr>
      <w:rFonts w:ascii="Times New Roman" w:eastAsia="方正小标宋简体" w:hAnsi="Times New Roman" w:cs="Times New Roman"/>
      <w:kern w:val="0"/>
      <w:sz w:val="44"/>
      <w:szCs w:val="32"/>
    </w:rPr>
  </w:style>
  <w:style w:type="paragraph" w:customStyle="1" w:styleId="31">
    <w:name w:val="标题3"/>
    <w:basedOn w:val="a"/>
    <w:next w:val="a"/>
    <w:qFormat/>
    <w:rsid w:val="007D4164"/>
    <w:pPr>
      <w:autoSpaceDE w:val="0"/>
      <w:autoSpaceDN w:val="0"/>
      <w:snapToGrid w:val="0"/>
      <w:spacing w:line="590" w:lineRule="atLeast"/>
      <w:ind w:firstLine="624"/>
    </w:pPr>
    <w:rPr>
      <w:rFonts w:ascii="方正黑体_GBK" w:eastAsia="方正黑体_GBK" w:hAnsi="Times New Roman" w:cs="Times New Roman"/>
      <w:snapToGrid w:val="0"/>
      <w:kern w:val="0"/>
      <w:sz w:val="32"/>
      <w:szCs w:val="20"/>
    </w:rPr>
  </w:style>
  <w:style w:type="character" w:customStyle="1" w:styleId="Char1">
    <w:name w:val="纯文本 Char"/>
    <w:basedOn w:val="a0"/>
    <w:link w:val="a5"/>
    <w:qFormat/>
    <w:rsid w:val="007D4164"/>
    <w:rPr>
      <w:rFonts w:ascii="宋体" w:eastAsia="宋体" w:hAnsi="Courier New" w:cs="Times New Roman"/>
      <w:kern w:val="0"/>
      <w:szCs w:val="20"/>
    </w:rPr>
  </w:style>
  <w:style w:type="character" w:customStyle="1" w:styleId="p91">
    <w:name w:val="p91"/>
    <w:qFormat/>
    <w:rsid w:val="007D4164"/>
    <w:rPr>
      <w:color w:val="000000"/>
      <w:sz w:val="18"/>
      <w:szCs w:val="18"/>
      <w:u w:val="none"/>
    </w:rPr>
  </w:style>
  <w:style w:type="paragraph" w:customStyle="1" w:styleId="CharCharCharChar">
    <w:name w:val="Char Char Char Char"/>
    <w:basedOn w:val="a"/>
    <w:qFormat/>
    <w:rsid w:val="007D4164"/>
    <w:pPr>
      <w:numPr>
        <w:numId w:val="1"/>
      </w:numPr>
    </w:pPr>
    <w:rPr>
      <w:rFonts w:ascii="Times New Roman" w:eastAsia="宋体" w:hAnsi="Times New Roman" w:cs="Times New Roman"/>
      <w:kern w:val="0"/>
      <w:sz w:val="24"/>
      <w:szCs w:val="32"/>
    </w:rPr>
  </w:style>
  <w:style w:type="paragraph" w:customStyle="1" w:styleId="Char2CharCharChar">
    <w:name w:val="Char2 Char Char Char"/>
    <w:basedOn w:val="a"/>
    <w:qFormat/>
    <w:rsid w:val="007D4164"/>
    <w:rPr>
      <w:rFonts w:ascii="Tahoma" w:eastAsia="宋体" w:hAnsi="Tahoma" w:cs="Times New Roman"/>
      <w:kern w:val="0"/>
      <w:sz w:val="24"/>
      <w:szCs w:val="20"/>
    </w:rPr>
  </w:style>
  <w:style w:type="paragraph" w:customStyle="1" w:styleId="Char10">
    <w:name w:val="Char1"/>
    <w:basedOn w:val="a"/>
    <w:qFormat/>
    <w:rsid w:val="007D4164"/>
    <w:rPr>
      <w:rFonts w:ascii="Times New Roman" w:eastAsia="宋体" w:hAnsi="Times New Roman" w:cs="Times New Roman"/>
      <w:kern w:val="0"/>
      <w:szCs w:val="32"/>
    </w:rPr>
  </w:style>
  <w:style w:type="paragraph" w:customStyle="1" w:styleId="Web">
    <w:name w:val="普通 (Web)"/>
    <w:basedOn w:val="a"/>
    <w:qFormat/>
    <w:rsid w:val="007D4164"/>
    <w:pPr>
      <w:widowControl/>
      <w:spacing w:before="100" w:beforeAutospacing="1" w:after="100" w:afterAutospacing="1"/>
      <w:jc w:val="left"/>
    </w:pPr>
    <w:rPr>
      <w:rFonts w:ascii="宋体" w:eastAsia="宋体" w:hAnsi="宋体" w:cs="Times New Roman"/>
      <w:kern w:val="0"/>
      <w:sz w:val="24"/>
      <w:szCs w:val="32"/>
    </w:rPr>
  </w:style>
  <w:style w:type="paragraph" w:customStyle="1" w:styleId="1">
    <w:name w:val="标题1"/>
    <w:basedOn w:val="a"/>
    <w:next w:val="a"/>
    <w:qFormat/>
    <w:rsid w:val="007D4164"/>
    <w:pPr>
      <w:tabs>
        <w:tab w:val="left" w:pos="9193"/>
        <w:tab w:val="left" w:pos="9827"/>
      </w:tabs>
      <w:autoSpaceDE w:val="0"/>
      <w:autoSpaceDN w:val="0"/>
      <w:snapToGrid w:val="0"/>
      <w:spacing w:line="700" w:lineRule="atLeast"/>
      <w:jc w:val="center"/>
    </w:pPr>
    <w:rPr>
      <w:rFonts w:ascii="汉鼎简大宋" w:eastAsia="汉鼎简大宋" w:hAnsi="Times New Roman" w:cs="Times New Roman"/>
      <w:kern w:val="0"/>
      <w:sz w:val="44"/>
      <w:szCs w:val="20"/>
    </w:rPr>
  </w:style>
  <w:style w:type="paragraph" w:customStyle="1" w:styleId="CharCharCharCharCharCharChar">
    <w:name w:val="Char Char Char Char Char Char Char"/>
    <w:basedOn w:val="a"/>
    <w:qFormat/>
    <w:rsid w:val="007D4164"/>
    <w:pPr>
      <w:widowControl/>
      <w:spacing w:after="160" w:line="240" w:lineRule="exact"/>
      <w:jc w:val="left"/>
    </w:pPr>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纪虹</dc:creator>
  <cp:lastModifiedBy>杨上雄</cp:lastModifiedBy>
  <cp:revision>22</cp:revision>
  <cp:lastPrinted>2023-10-18T08:24:00Z</cp:lastPrinted>
  <dcterms:created xsi:type="dcterms:W3CDTF">2023-07-13T06:11:00Z</dcterms:created>
  <dcterms:modified xsi:type="dcterms:W3CDTF">2023-10-18T08:24:00Z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8E4045D9D1324C25BB605691244CDB3C_13</vt:lpwstr>
  </property>
</Properties>
</file>