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CCF084">
      <w:pPr>
        <w:keepNext w:val="0"/>
        <w:keepLines w:val="0"/>
        <w:pageBreakBefore w:val="0"/>
        <w:widowControl/>
        <w:kinsoku/>
        <w:wordWrap/>
        <w:overflowPunct/>
        <w:topLinePunct w:val="0"/>
        <w:autoSpaceDE/>
        <w:autoSpaceDN/>
        <w:bidi w:val="0"/>
        <w:adjustRightInd/>
        <w:snapToGrid/>
        <w:spacing w:after="361" w:afterLines="100" w:line="360" w:lineRule="auto"/>
        <w:jc w:val="left"/>
        <w:textAlignment w:val="auto"/>
        <w:rPr>
          <w:rFonts w:hint="eastAsia" w:ascii="黑体" w:hAnsi="黑体" w:eastAsia="黑体"/>
          <w:b/>
          <w:color w:val="auto"/>
          <w:sz w:val="32"/>
          <w:szCs w:val="22"/>
          <w:lang w:eastAsia="zh-CN"/>
        </w:rPr>
      </w:pPr>
      <w:r>
        <w:rPr>
          <w:rFonts w:hint="eastAsia" w:ascii="黑体" w:hAnsi="黑体" w:eastAsia="黑体"/>
          <w:b/>
          <w:color w:val="auto"/>
          <w:sz w:val="32"/>
          <w:szCs w:val="22"/>
          <w:lang w:eastAsia="zh-CN"/>
        </w:rPr>
        <w:t>附件</w:t>
      </w:r>
    </w:p>
    <w:p w14:paraId="176EF1F2">
      <w:pPr>
        <w:keepNext w:val="0"/>
        <w:keepLines w:val="0"/>
        <w:pageBreakBefore w:val="0"/>
        <w:widowControl/>
        <w:kinsoku/>
        <w:wordWrap/>
        <w:overflowPunct/>
        <w:topLinePunct w:val="0"/>
        <w:autoSpaceDE/>
        <w:autoSpaceDN/>
        <w:bidi w:val="0"/>
        <w:adjustRightInd/>
        <w:snapToGrid/>
        <w:spacing w:after="361" w:afterLines="100" w:line="360" w:lineRule="auto"/>
        <w:jc w:val="center"/>
        <w:textAlignment w:val="auto"/>
        <w:rPr>
          <w:rFonts w:hint="eastAsia" w:ascii="黑体" w:hAnsi="黑体" w:eastAsia="黑体"/>
          <w:b/>
          <w:color w:val="auto"/>
          <w:sz w:val="32"/>
          <w:szCs w:val="22"/>
          <w:lang w:eastAsia="zh-CN"/>
        </w:rPr>
      </w:pPr>
      <w:r>
        <w:rPr>
          <w:rFonts w:ascii="黑体" w:hAnsi="黑体" w:eastAsia="黑体"/>
          <w:b/>
          <w:color w:val="auto"/>
          <w:sz w:val="32"/>
          <w:szCs w:val="22"/>
        </w:rPr>
        <w:t>苏州市重点行业</w:t>
      </w:r>
      <w:r>
        <w:rPr>
          <w:rFonts w:hint="eastAsia" w:ascii="黑体" w:hAnsi="黑体" w:eastAsia="黑体"/>
          <w:b/>
          <w:color w:val="auto"/>
          <w:sz w:val="32"/>
          <w:szCs w:val="22"/>
          <w:lang w:val="en-US" w:eastAsia="zh-CN"/>
        </w:rPr>
        <w:t>工业</w:t>
      </w:r>
      <w:r>
        <w:rPr>
          <w:rFonts w:ascii="黑体" w:hAnsi="黑体" w:eastAsia="黑体"/>
          <w:b/>
          <w:color w:val="auto"/>
          <w:sz w:val="32"/>
          <w:szCs w:val="22"/>
        </w:rPr>
        <w:t>企业初期雨水整治</w:t>
      </w:r>
      <w:r>
        <w:rPr>
          <w:rFonts w:hint="eastAsia" w:ascii="黑体" w:hAnsi="黑体" w:eastAsia="黑体"/>
          <w:b/>
          <w:color w:val="auto"/>
          <w:sz w:val="32"/>
          <w:szCs w:val="22"/>
          <w:lang w:eastAsia="zh-CN"/>
        </w:rPr>
        <w:t>要求</w:t>
      </w:r>
    </w:p>
    <w:p w14:paraId="558E3BA0">
      <w:pPr>
        <w:keepNext w:val="0"/>
        <w:keepLines w:val="0"/>
        <w:pageBreakBefore w:val="0"/>
        <w:widowControl/>
        <w:kinsoku/>
        <w:wordWrap/>
        <w:overflowPunct/>
        <w:topLinePunct w:val="0"/>
        <w:autoSpaceDE/>
        <w:autoSpaceDN/>
        <w:bidi w:val="0"/>
        <w:adjustRightInd/>
        <w:snapToGrid/>
        <w:spacing w:after="361" w:afterLines="100" w:line="360" w:lineRule="auto"/>
        <w:jc w:val="center"/>
        <w:textAlignment w:val="auto"/>
        <w:rPr>
          <w:rFonts w:hint="default" w:eastAsia="黑体"/>
          <w:color w:val="auto"/>
          <w:sz w:val="20"/>
          <w:szCs w:val="21"/>
          <w:lang w:val="en-US" w:eastAsia="zh-CN"/>
        </w:rPr>
      </w:pPr>
      <w:r>
        <w:rPr>
          <w:rFonts w:hint="eastAsia" w:ascii="黑体" w:hAnsi="黑体" w:eastAsia="黑体"/>
          <w:b/>
          <w:color w:val="auto"/>
          <w:sz w:val="32"/>
          <w:szCs w:val="22"/>
          <w:lang w:eastAsia="zh-CN"/>
        </w:rPr>
        <w:t>（审议</w:t>
      </w:r>
      <w:r>
        <w:rPr>
          <w:rFonts w:hint="eastAsia" w:ascii="黑体" w:hAnsi="黑体" w:eastAsia="黑体"/>
          <w:b/>
          <w:color w:val="auto"/>
          <w:sz w:val="32"/>
          <w:szCs w:val="22"/>
          <w:lang w:val="en-US" w:eastAsia="zh-CN"/>
        </w:rPr>
        <w:t>稿</w:t>
      </w:r>
      <w:r>
        <w:rPr>
          <w:rFonts w:hint="eastAsia" w:ascii="黑体" w:hAnsi="黑体" w:eastAsia="黑体"/>
          <w:b/>
          <w:color w:val="auto"/>
          <w:sz w:val="32"/>
          <w:szCs w:val="22"/>
          <w:lang w:eastAsia="zh-CN"/>
        </w:rPr>
        <w:t>）</w:t>
      </w:r>
    </w:p>
    <w:p w14:paraId="0A26B459">
      <w:pPr>
        <w:keepNext w:val="0"/>
        <w:keepLines w:val="0"/>
        <w:pageBreakBefore w:val="0"/>
        <w:widowControl/>
        <w:numPr>
          <w:ilvl w:val="0"/>
          <w:numId w:val="7"/>
        </w:numPr>
        <w:kinsoku/>
        <w:wordWrap/>
        <w:overflowPunct/>
        <w:topLinePunct w:val="0"/>
        <w:autoSpaceDE/>
        <w:autoSpaceDN/>
        <w:bidi w:val="0"/>
        <w:adjustRightInd/>
        <w:snapToGrid/>
        <w:spacing w:before="181" w:beforeLines="50" w:after="181" w:afterLines="50" w:line="360" w:lineRule="auto"/>
        <w:ind w:left="425" w:leftChars="0" w:hanging="425" w:firstLineChars="0"/>
        <w:textAlignment w:val="auto"/>
        <w:rPr>
          <w:rFonts w:ascii="黑体" w:hAnsi="黑体" w:eastAsia="黑体"/>
          <w:b/>
          <w:color w:val="auto"/>
          <w:sz w:val="28"/>
          <w:szCs w:val="28"/>
        </w:rPr>
      </w:pPr>
      <w:r>
        <w:rPr>
          <w:rFonts w:ascii="黑体" w:hAnsi="黑体" w:eastAsia="黑体"/>
          <w:b/>
          <w:color w:val="auto"/>
          <w:sz w:val="28"/>
          <w:szCs w:val="28"/>
        </w:rPr>
        <w:t>适用范围</w:t>
      </w:r>
    </w:p>
    <w:p w14:paraId="0AF144F5">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color w:val="auto"/>
          <w:sz w:val="24"/>
          <w:szCs w:val="28"/>
        </w:rPr>
      </w:pPr>
      <w:r>
        <w:rPr>
          <w:rFonts w:ascii="仿宋_GB2312" w:hAnsi="仿宋_GB2312" w:eastAsia="仿宋_GB2312"/>
          <w:b w:val="0"/>
          <w:color w:val="auto"/>
          <w:sz w:val="24"/>
          <w:szCs w:val="28"/>
        </w:rPr>
        <w:t>本</w:t>
      </w:r>
      <w:r>
        <w:rPr>
          <w:rFonts w:hint="eastAsia"/>
          <w:b w:val="0"/>
          <w:color w:val="auto"/>
          <w:sz w:val="24"/>
          <w:szCs w:val="28"/>
          <w:lang w:eastAsia="zh-CN"/>
        </w:rPr>
        <w:t>整治要求</w:t>
      </w:r>
      <w:r>
        <w:rPr>
          <w:rFonts w:ascii="仿宋_GB2312" w:hAnsi="仿宋_GB2312" w:eastAsia="仿宋_GB2312"/>
          <w:b w:val="0"/>
          <w:color w:val="auto"/>
          <w:sz w:val="24"/>
          <w:szCs w:val="28"/>
        </w:rPr>
        <w:t>适用于苏州市行政区域内重点行业</w:t>
      </w:r>
      <w:r>
        <w:rPr>
          <w:rFonts w:hint="eastAsia"/>
          <w:b w:val="0"/>
          <w:color w:val="auto"/>
          <w:sz w:val="24"/>
          <w:szCs w:val="28"/>
          <w:lang w:val="en-US" w:eastAsia="zh-CN"/>
        </w:rPr>
        <w:t>工业</w:t>
      </w:r>
      <w:r>
        <w:rPr>
          <w:rFonts w:ascii="仿宋_GB2312" w:hAnsi="仿宋_GB2312" w:eastAsia="仿宋_GB2312"/>
          <w:b w:val="0"/>
          <w:color w:val="auto"/>
          <w:sz w:val="24"/>
          <w:szCs w:val="28"/>
        </w:rPr>
        <w:t>企业初期雨水的收集、输送、储存、处理、排放及监督管理等活动。</w:t>
      </w:r>
    </w:p>
    <w:p w14:paraId="7F7912C9">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ascii="仿宋_GB2312" w:hAnsi="仿宋_GB2312" w:eastAsia="仿宋_GB2312"/>
          <w:b w:val="0"/>
          <w:color w:val="auto"/>
          <w:sz w:val="24"/>
          <w:szCs w:val="28"/>
        </w:rPr>
      </w:pPr>
      <w:r>
        <w:rPr>
          <w:rFonts w:hint="eastAsia"/>
          <w:b w:val="0"/>
          <w:color w:val="auto"/>
          <w:sz w:val="24"/>
          <w:szCs w:val="28"/>
          <w:lang w:eastAsia="zh-CN"/>
        </w:rPr>
        <w:t>各地根据辖区内产业结构、行业分布、敏感区位确定的纳入整治的行业</w:t>
      </w:r>
      <w:r>
        <w:rPr>
          <w:rFonts w:ascii="仿宋_GB2312" w:hAnsi="仿宋_GB2312" w:eastAsia="仿宋_GB2312"/>
          <w:b w:val="0"/>
          <w:color w:val="auto"/>
          <w:sz w:val="24"/>
          <w:szCs w:val="28"/>
        </w:rPr>
        <w:t>，参照本</w:t>
      </w:r>
      <w:r>
        <w:rPr>
          <w:rFonts w:hint="eastAsia"/>
          <w:b w:val="0"/>
          <w:color w:val="auto"/>
          <w:sz w:val="24"/>
          <w:szCs w:val="28"/>
          <w:lang w:eastAsia="zh-CN"/>
        </w:rPr>
        <w:t>要求</w:t>
      </w:r>
      <w:r>
        <w:rPr>
          <w:rFonts w:ascii="仿宋_GB2312" w:hAnsi="仿宋_GB2312" w:eastAsia="仿宋_GB2312"/>
          <w:b w:val="0"/>
          <w:color w:val="auto"/>
          <w:sz w:val="24"/>
          <w:szCs w:val="28"/>
        </w:rPr>
        <w:t>执行。</w:t>
      </w:r>
    </w:p>
    <w:p w14:paraId="02900089">
      <w:pPr>
        <w:keepNext w:val="0"/>
        <w:keepLines w:val="0"/>
        <w:pageBreakBefore w:val="0"/>
        <w:widowControl/>
        <w:numPr>
          <w:ilvl w:val="0"/>
          <w:numId w:val="7"/>
        </w:numPr>
        <w:kinsoku/>
        <w:wordWrap/>
        <w:overflowPunct/>
        <w:topLinePunct w:val="0"/>
        <w:autoSpaceDE/>
        <w:autoSpaceDN/>
        <w:bidi w:val="0"/>
        <w:adjustRightInd/>
        <w:snapToGrid/>
        <w:spacing w:before="181" w:beforeLines="50" w:after="181" w:afterLines="50" w:line="360" w:lineRule="auto"/>
        <w:ind w:left="425" w:leftChars="0" w:hanging="425" w:firstLineChars="0"/>
        <w:textAlignment w:val="auto"/>
        <w:rPr>
          <w:rFonts w:ascii="黑体" w:hAnsi="黑体" w:eastAsia="黑体"/>
          <w:b/>
          <w:color w:val="auto"/>
          <w:sz w:val="28"/>
          <w:szCs w:val="28"/>
        </w:rPr>
      </w:pPr>
      <w:r>
        <w:rPr>
          <w:rFonts w:hint="eastAsia" w:ascii="黑体" w:hAnsi="黑体" w:eastAsia="黑体"/>
          <w:b/>
          <w:color w:val="auto"/>
          <w:sz w:val="28"/>
          <w:szCs w:val="28"/>
          <w:lang w:val="en-US" w:eastAsia="zh-CN"/>
        </w:rPr>
        <w:t>规范性引用文件</w:t>
      </w:r>
    </w:p>
    <w:p w14:paraId="377F889A">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eastAsia" w:ascii="仿宋_GB2312" w:hAnsi="仿宋_GB2312" w:eastAsia="仿宋_GB2312"/>
          <w:b w:val="0"/>
          <w:color w:val="auto"/>
          <w:sz w:val="24"/>
          <w:szCs w:val="28"/>
        </w:rPr>
      </w:pPr>
      <w:r>
        <w:rPr>
          <w:rFonts w:hint="eastAsia" w:ascii="仿宋_GB2312" w:hAnsi="仿宋_GB2312" w:eastAsia="仿宋_GB2312"/>
          <w:b w:val="0"/>
          <w:color w:val="auto"/>
          <w:sz w:val="24"/>
          <w:szCs w:val="28"/>
        </w:rPr>
        <w:t>本</w:t>
      </w:r>
      <w:r>
        <w:rPr>
          <w:rFonts w:hint="eastAsia"/>
          <w:b w:val="0"/>
          <w:color w:val="auto"/>
          <w:sz w:val="24"/>
          <w:szCs w:val="28"/>
          <w:lang w:eastAsia="zh-CN"/>
        </w:rPr>
        <w:t>要求</w:t>
      </w:r>
      <w:r>
        <w:rPr>
          <w:rFonts w:hint="eastAsia" w:ascii="仿宋_GB2312" w:hAnsi="仿宋_GB2312" w:eastAsia="仿宋_GB2312"/>
          <w:b w:val="0"/>
          <w:color w:val="auto"/>
          <w:sz w:val="24"/>
          <w:szCs w:val="28"/>
        </w:rPr>
        <w:t>引用了下列文件或其中的条款。凡是不注明日期的引用文件，其有效版本适用于本标准。</w:t>
      </w:r>
    </w:p>
    <w:p w14:paraId="28E5953F">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ascii="仿宋_GB2312" w:hAnsi="仿宋_GB2312" w:eastAsia="仿宋_GB2312"/>
          <w:b w:val="0"/>
          <w:color w:val="auto"/>
          <w:sz w:val="24"/>
          <w:szCs w:val="28"/>
        </w:rPr>
      </w:pPr>
      <w:r>
        <w:rPr>
          <w:rFonts w:ascii="仿宋_GB2312" w:hAnsi="仿宋_GB2312" w:eastAsia="仿宋_GB2312"/>
          <w:b w:val="0"/>
          <w:color w:val="auto"/>
          <w:sz w:val="24"/>
          <w:szCs w:val="28"/>
        </w:rPr>
        <w:t>GB 3838</w:t>
      </w:r>
      <w:r>
        <w:rPr>
          <w:rFonts w:hint="eastAsia"/>
          <w:b w:val="0"/>
          <w:color w:val="auto"/>
          <w:sz w:val="24"/>
          <w:szCs w:val="28"/>
          <w:lang w:val="en-US" w:eastAsia="zh-CN"/>
        </w:rPr>
        <w:t xml:space="preserve">  </w:t>
      </w:r>
      <w:r>
        <w:rPr>
          <w:rFonts w:ascii="仿宋_GB2312" w:hAnsi="仿宋_GB2312" w:eastAsia="仿宋_GB2312"/>
          <w:b w:val="0"/>
          <w:color w:val="auto"/>
          <w:sz w:val="24"/>
          <w:szCs w:val="28"/>
        </w:rPr>
        <w:t>地表水环境质量标准</w:t>
      </w:r>
    </w:p>
    <w:p w14:paraId="048949A1">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ascii="仿宋_GB2312" w:hAnsi="仿宋_GB2312" w:eastAsia="仿宋_GB2312"/>
          <w:b w:val="0"/>
          <w:color w:val="auto"/>
          <w:sz w:val="24"/>
          <w:szCs w:val="28"/>
        </w:rPr>
      </w:pPr>
      <w:r>
        <w:rPr>
          <w:rFonts w:ascii="仿宋_GB2312" w:hAnsi="仿宋_GB2312" w:eastAsia="仿宋_GB2312"/>
          <w:b w:val="0"/>
          <w:strike w:val="0"/>
          <w:dstrike w:val="0"/>
          <w:color w:val="auto"/>
          <w:sz w:val="24"/>
          <w:szCs w:val="28"/>
        </w:rPr>
        <w:t>GB/T 14848</w:t>
      </w:r>
      <w:r>
        <w:rPr>
          <w:rFonts w:hint="eastAsia"/>
          <w:b w:val="0"/>
          <w:strike w:val="0"/>
          <w:dstrike w:val="0"/>
          <w:color w:val="auto"/>
          <w:sz w:val="24"/>
          <w:szCs w:val="28"/>
          <w:lang w:val="en-US" w:eastAsia="zh-CN"/>
        </w:rPr>
        <w:t xml:space="preserve">  </w:t>
      </w:r>
      <w:r>
        <w:rPr>
          <w:rFonts w:ascii="仿宋_GB2312" w:hAnsi="仿宋_GB2312" w:eastAsia="仿宋_GB2312"/>
          <w:b w:val="0"/>
          <w:color w:val="auto"/>
          <w:sz w:val="24"/>
          <w:szCs w:val="28"/>
        </w:rPr>
        <w:t>地下水质量标准</w:t>
      </w:r>
    </w:p>
    <w:p w14:paraId="451562D1">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default" w:ascii="仿宋_GB2312" w:hAnsi="仿宋_GB2312" w:eastAsia="仿宋_GB2312"/>
          <w:b w:val="0"/>
          <w:color w:val="auto"/>
          <w:sz w:val="24"/>
          <w:szCs w:val="28"/>
          <w:lang w:val="en-US" w:eastAsia="zh-CN"/>
        </w:rPr>
      </w:pPr>
      <w:r>
        <w:rPr>
          <w:rFonts w:ascii="仿宋_GB2312" w:hAnsi="仿宋_GB2312" w:eastAsia="仿宋_GB2312"/>
          <w:b w:val="0"/>
          <w:strike w:val="0"/>
          <w:dstrike w:val="0"/>
          <w:color w:val="auto"/>
          <w:sz w:val="24"/>
          <w:szCs w:val="28"/>
        </w:rPr>
        <w:t>GB 8978</w:t>
      </w:r>
      <w:r>
        <w:rPr>
          <w:rFonts w:hint="eastAsia"/>
          <w:b w:val="0"/>
          <w:strike w:val="0"/>
          <w:dstrike w:val="0"/>
          <w:color w:val="auto"/>
          <w:sz w:val="24"/>
          <w:szCs w:val="28"/>
          <w:lang w:val="en-US" w:eastAsia="zh-CN"/>
        </w:rPr>
        <w:t xml:space="preserve">  </w:t>
      </w:r>
      <w:r>
        <w:rPr>
          <w:rFonts w:ascii="仿宋_GB2312" w:hAnsi="仿宋_GB2312" w:eastAsia="仿宋_GB2312"/>
          <w:b w:val="0"/>
          <w:color w:val="auto"/>
          <w:sz w:val="24"/>
          <w:szCs w:val="28"/>
        </w:rPr>
        <w:t>污水综合排放标准</w:t>
      </w:r>
    </w:p>
    <w:p w14:paraId="1D849498">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ascii="仿宋_GB2312" w:hAnsi="仿宋_GB2312" w:eastAsia="仿宋_GB2312"/>
          <w:b w:val="0"/>
          <w:color w:val="auto"/>
          <w:sz w:val="24"/>
          <w:szCs w:val="28"/>
        </w:rPr>
      </w:pPr>
      <w:r>
        <w:rPr>
          <w:rFonts w:ascii="仿宋_GB2312" w:hAnsi="仿宋_GB2312" w:eastAsia="仿宋_GB2312"/>
          <w:b w:val="0"/>
          <w:strike w:val="0"/>
          <w:dstrike w:val="0"/>
          <w:color w:val="auto"/>
          <w:sz w:val="24"/>
          <w:szCs w:val="28"/>
        </w:rPr>
        <w:t>GB 18918</w:t>
      </w:r>
      <w:r>
        <w:rPr>
          <w:rFonts w:hint="eastAsia"/>
          <w:b w:val="0"/>
          <w:strike w:val="0"/>
          <w:dstrike w:val="0"/>
          <w:color w:val="auto"/>
          <w:sz w:val="24"/>
          <w:szCs w:val="28"/>
          <w:lang w:val="en-US" w:eastAsia="zh-CN"/>
        </w:rPr>
        <w:t xml:space="preserve">  </w:t>
      </w:r>
      <w:r>
        <w:rPr>
          <w:rFonts w:ascii="仿宋_GB2312" w:hAnsi="仿宋_GB2312" w:eastAsia="仿宋_GB2312"/>
          <w:b w:val="0"/>
          <w:color w:val="auto"/>
          <w:sz w:val="24"/>
          <w:szCs w:val="28"/>
        </w:rPr>
        <w:t>城镇污水处理厂污染物排放标准</w:t>
      </w:r>
    </w:p>
    <w:p w14:paraId="48A1257E">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eastAsia" w:ascii="仿宋_GB2312" w:hAnsi="仿宋_GB2312" w:eastAsia="仿宋_GB2312"/>
          <w:b w:val="0"/>
          <w:color w:val="auto"/>
          <w:sz w:val="24"/>
          <w:szCs w:val="28"/>
        </w:rPr>
      </w:pPr>
      <w:r>
        <w:rPr>
          <w:rFonts w:hint="eastAsia" w:ascii="仿宋_GB2312" w:hAnsi="仿宋_GB2312" w:eastAsia="仿宋_GB2312"/>
          <w:b w:val="0"/>
          <w:color w:val="auto"/>
          <w:sz w:val="24"/>
          <w:szCs w:val="28"/>
        </w:rPr>
        <w:t>GB 21900</w:t>
      </w:r>
      <w:r>
        <w:rPr>
          <w:rFonts w:hint="eastAsia"/>
          <w:b w:val="0"/>
          <w:color w:val="auto"/>
          <w:sz w:val="24"/>
          <w:szCs w:val="28"/>
          <w:lang w:val="en-US" w:eastAsia="zh-CN"/>
        </w:rPr>
        <w:t xml:space="preserve">  </w:t>
      </w:r>
      <w:r>
        <w:rPr>
          <w:rFonts w:hint="eastAsia" w:ascii="仿宋_GB2312" w:hAnsi="仿宋_GB2312" w:eastAsia="仿宋_GB2312"/>
          <w:b w:val="0"/>
          <w:color w:val="auto"/>
          <w:sz w:val="24"/>
          <w:szCs w:val="28"/>
        </w:rPr>
        <w:t>电镀污染物排放标准</w:t>
      </w:r>
    </w:p>
    <w:p w14:paraId="46FDDFB3">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eastAsia" w:ascii="仿宋_GB2312" w:hAnsi="仿宋_GB2312" w:eastAsia="仿宋_GB2312"/>
          <w:b w:val="0"/>
          <w:color w:val="auto"/>
          <w:sz w:val="24"/>
          <w:szCs w:val="28"/>
        </w:rPr>
      </w:pPr>
      <w:r>
        <w:rPr>
          <w:rFonts w:hint="eastAsia" w:ascii="仿宋_GB2312" w:hAnsi="仿宋_GB2312" w:eastAsia="仿宋_GB2312"/>
          <w:b w:val="0"/>
          <w:color w:val="auto"/>
          <w:sz w:val="24"/>
          <w:szCs w:val="28"/>
        </w:rPr>
        <w:t>GB 21905</w:t>
      </w:r>
      <w:r>
        <w:rPr>
          <w:rFonts w:hint="eastAsia"/>
          <w:b w:val="0"/>
          <w:color w:val="auto"/>
          <w:sz w:val="24"/>
          <w:szCs w:val="28"/>
          <w:lang w:val="en-US" w:eastAsia="zh-CN"/>
        </w:rPr>
        <w:t xml:space="preserve">  </w:t>
      </w:r>
      <w:r>
        <w:rPr>
          <w:rFonts w:hint="eastAsia" w:ascii="仿宋_GB2312" w:hAnsi="仿宋_GB2312" w:eastAsia="仿宋_GB2312"/>
          <w:b w:val="0"/>
          <w:color w:val="auto"/>
          <w:sz w:val="24"/>
          <w:szCs w:val="28"/>
        </w:rPr>
        <w:t>化学合成类制药工业水污染物排放标准</w:t>
      </w:r>
    </w:p>
    <w:p w14:paraId="6CB28B53">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eastAsia" w:ascii="仿宋_GB2312" w:hAnsi="仿宋_GB2312" w:eastAsia="仿宋_GB2312"/>
          <w:b w:val="0"/>
          <w:color w:val="auto"/>
          <w:sz w:val="24"/>
          <w:szCs w:val="28"/>
        </w:rPr>
      </w:pPr>
      <w:r>
        <w:rPr>
          <w:rFonts w:hint="eastAsia" w:ascii="仿宋_GB2312" w:hAnsi="仿宋_GB2312" w:eastAsia="仿宋_GB2312"/>
          <w:b w:val="0"/>
          <w:color w:val="auto"/>
          <w:sz w:val="24"/>
          <w:szCs w:val="28"/>
        </w:rPr>
        <w:t>GB 4287</w:t>
      </w:r>
      <w:r>
        <w:rPr>
          <w:rFonts w:hint="eastAsia"/>
          <w:b w:val="0"/>
          <w:color w:val="auto"/>
          <w:sz w:val="24"/>
          <w:szCs w:val="28"/>
          <w:lang w:val="en-US" w:eastAsia="zh-CN"/>
        </w:rPr>
        <w:t xml:space="preserve">  </w:t>
      </w:r>
      <w:r>
        <w:rPr>
          <w:rFonts w:hint="eastAsia" w:ascii="仿宋_GB2312" w:hAnsi="仿宋_GB2312" w:eastAsia="仿宋_GB2312"/>
          <w:b w:val="0"/>
          <w:color w:val="auto"/>
          <w:sz w:val="24"/>
          <w:szCs w:val="28"/>
        </w:rPr>
        <w:t>纺织染整工业水污染物排放标准</w:t>
      </w:r>
    </w:p>
    <w:p w14:paraId="7CAA786E">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eastAsia" w:ascii="仿宋_GB2312" w:hAnsi="仿宋_GB2312" w:eastAsia="仿宋_GB2312"/>
          <w:b w:val="0"/>
          <w:color w:val="auto"/>
          <w:sz w:val="24"/>
          <w:szCs w:val="28"/>
        </w:rPr>
      </w:pPr>
      <w:r>
        <w:rPr>
          <w:rFonts w:hint="eastAsia" w:ascii="仿宋_GB2312" w:hAnsi="仿宋_GB2312" w:eastAsia="仿宋_GB2312"/>
          <w:b w:val="0"/>
          <w:color w:val="auto"/>
          <w:sz w:val="24"/>
          <w:szCs w:val="28"/>
        </w:rPr>
        <w:t>GB 3544</w:t>
      </w:r>
      <w:r>
        <w:rPr>
          <w:rFonts w:hint="eastAsia"/>
          <w:b w:val="0"/>
          <w:color w:val="auto"/>
          <w:sz w:val="24"/>
          <w:szCs w:val="28"/>
          <w:lang w:val="en-US" w:eastAsia="zh-CN"/>
        </w:rPr>
        <w:t xml:space="preserve">  </w:t>
      </w:r>
      <w:r>
        <w:rPr>
          <w:rFonts w:hint="eastAsia" w:ascii="仿宋_GB2312" w:hAnsi="仿宋_GB2312" w:eastAsia="仿宋_GB2312"/>
          <w:b w:val="0"/>
          <w:color w:val="auto"/>
          <w:sz w:val="24"/>
          <w:szCs w:val="28"/>
        </w:rPr>
        <w:t>制浆造纸工业水污染物排放标准</w:t>
      </w:r>
    </w:p>
    <w:p w14:paraId="5FB04B29">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eastAsia" w:ascii="仿宋_GB2312" w:hAnsi="仿宋_GB2312" w:eastAsia="仿宋_GB2312"/>
          <w:b w:val="0"/>
          <w:color w:val="auto"/>
          <w:sz w:val="24"/>
          <w:szCs w:val="28"/>
        </w:rPr>
      </w:pPr>
      <w:r>
        <w:rPr>
          <w:rFonts w:hint="eastAsia" w:ascii="仿宋_GB2312" w:hAnsi="仿宋_GB2312" w:eastAsia="仿宋_GB2312"/>
          <w:b w:val="0"/>
          <w:color w:val="auto"/>
          <w:sz w:val="24"/>
          <w:szCs w:val="28"/>
        </w:rPr>
        <w:t>GB 30486</w:t>
      </w:r>
      <w:r>
        <w:rPr>
          <w:rFonts w:hint="eastAsia"/>
          <w:b w:val="0"/>
          <w:color w:val="auto"/>
          <w:sz w:val="24"/>
          <w:szCs w:val="28"/>
          <w:lang w:val="en-US" w:eastAsia="zh-CN"/>
        </w:rPr>
        <w:t xml:space="preserve">  </w:t>
      </w:r>
      <w:r>
        <w:rPr>
          <w:rFonts w:hint="eastAsia" w:ascii="仿宋_GB2312" w:hAnsi="仿宋_GB2312" w:eastAsia="仿宋_GB2312"/>
          <w:b w:val="0"/>
          <w:color w:val="auto"/>
          <w:sz w:val="24"/>
          <w:szCs w:val="28"/>
        </w:rPr>
        <w:t>制革及毛皮加工工业水污染物排放标准</w:t>
      </w:r>
    </w:p>
    <w:p w14:paraId="5044BE40">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eastAsia" w:ascii="仿宋_GB2312" w:hAnsi="仿宋_GB2312" w:eastAsia="仿宋_GB2312"/>
          <w:b w:val="0"/>
          <w:color w:val="auto"/>
          <w:sz w:val="24"/>
          <w:szCs w:val="28"/>
        </w:rPr>
      </w:pPr>
      <w:r>
        <w:rPr>
          <w:rFonts w:hint="eastAsia" w:ascii="仿宋_GB2312" w:hAnsi="仿宋_GB2312" w:eastAsia="仿宋_GB2312"/>
          <w:b w:val="0"/>
          <w:color w:val="auto"/>
          <w:sz w:val="24"/>
          <w:szCs w:val="28"/>
        </w:rPr>
        <w:t>GB 50014</w:t>
      </w:r>
      <w:r>
        <w:rPr>
          <w:rFonts w:hint="eastAsia"/>
          <w:b w:val="0"/>
          <w:color w:val="auto"/>
          <w:sz w:val="24"/>
          <w:szCs w:val="28"/>
          <w:lang w:val="en-US" w:eastAsia="zh-CN"/>
        </w:rPr>
        <w:t xml:space="preserve">  </w:t>
      </w:r>
      <w:r>
        <w:rPr>
          <w:rFonts w:hint="eastAsia" w:ascii="仿宋_GB2312" w:hAnsi="仿宋_GB2312" w:eastAsia="仿宋_GB2312"/>
          <w:b w:val="0"/>
          <w:color w:val="auto"/>
          <w:sz w:val="24"/>
          <w:szCs w:val="28"/>
        </w:rPr>
        <w:t>室外排水设计标准</w:t>
      </w:r>
    </w:p>
    <w:p w14:paraId="2F39D7E9">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eastAsia" w:ascii="仿宋_GB2312" w:hAnsi="仿宋_GB2312" w:eastAsia="仿宋_GB2312"/>
          <w:b w:val="0"/>
          <w:color w:val="auto"/>
          <w:sz w:val="24"/>
          <w:szCs w:val="28"/>
        </w:rPr>
      </w:pPr>
      <w:r>
        <w:rPr>
          <w:rFonts w:hint="eastAsia" w:ascii="仿宋_GB2312" w:hAnsi="仿宋_GB2312" w:eastAsia="仿宋_GB2312"/>
          <w:b w:val="0"/>
          <w:color w:val="auto"/>
          <w:sz w:val="24"/>
          <w:szCs w:val="28"/>
        </w:rPr>
        <w:t>GB 15562.1</w:t>
      </w:r>
      <w:r>
        <w:rPr>
          <w:rFonts w:hint="eastAsia"/>
          <w:b w:val="0"/>
          <w:color w:val="auto"/>
          <w:sz w:val="24"/>
          <w:szCs w:val="28"/>
          <w:lang w:val="en-US" w:eastAsia="zh-CN"/>
        </w:rPr>
        <w:t xml:space="preserve">  </w:t>
      </w:r>
      <w:r>
        <w:rPr>
          <w:rFonts w:hint="eastAsia" w:ascii="仿宋_GB2312" w:hAnsi="仿宋_GB2312" w:eastAsia="仿宋_GB2312"/>
          <w:b w:val="0"/>
          <w:color w:val="auto"/>
          <w:sz w:val="24"/>
          <w:szCs w:val="28"/>
        </w:rPr>
        <w:t>环境保护图形标志—排放口（源）</w:t>
      </w:r>
      <w:r>
        <w:rPr>
          <w:rFonts w:hint="eastAsia" w:ascii="仿宋_GB2312" w:hAnsi="仿宋_GB2312" w:eastAsia="仿宋_GB2312"/>
          <w:b w:val="0"/>
          <w:color w:val="auto"/>
          <w:sz w:val="24"/>
          <w:szCs w:val="28"/>
        </w:rPr>
        <w:tab/>
      </w:r>
    </w:p>
    <w:p w14:paraId="7AFBBE8C">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eastAsia" w:ascii="仿宋_GB2312" w:hAnsi="仿宋_GB2312" w:eastAsia="仿宋_GB2312"/>
          <w:b w:val="0"/>
          <w:color w:val="auto"/>
          <w:sz w:val="24"/>
          <w:szCs w:val="28"/>
        </w:rPr>
      </w:pPr>
      <w:r>
        <w:rPr>
          <w:rFonts w:hint="eastAsia" w:ascii="仿宋_GB2312" w:hAnsi="仿宋_GB2312" w:eastAsia="仿宋_GB2312"/>
          <w:b w:val="0"/>
          <w:color w:val="auto"/>
          <w:sz w:val="24"/>
          <w:szCs w:val="28"/>
        </w:rPr>
        <w:t>GB 50069</w:t>
      </w:r>
      <w:r>
        <w:rPr>
          <w:rFonts w:hint="eastAsia"/>
          <w:b w:val="0"/>
          <w:color w:val="auto"/>
          <w:sz w:val="24"/>
          <w:szCs w:val="28"/>
          <w:lang w:val="en-US" w:eastAsia="zh-CN"/>
        </w:rPr>
        <w:t xml:space="preserve">  </w:t>
      </w:r>
      <w:r>
        <w:rPr>
          <w:rFonts w:hint="eastAsia" w:ascii="仿宋_GB2312" w:hAnsi="仿宋_GB2312" w:eastAsia="仿宋_GB2312"/>
          <w:b w:val="0"/>
          <w:color w:val="auto"/>
          <w:sz w:val="24"/>
          <w:szCs w:val="28"/>
        </w:rPr>
        <w:t>给水排水工程构筑物结构设计规范</w:t>
      </w:r>
    </w:p>
    <w:p w14:paraId="0FAE171F">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eastAsia" w:ascii="仿宋_GB2312" w:hAnsi="仿宋_GB2312" w:eastAsia="仿宋_GB2312"/>
          <w:b w:val="0"/>
          <w:color w:val="auto"/>
          <w:sz w:val="24"/>
          <w:szCs w:val="28"/>
        </w:rPr>
      </w:pPr>
      <w:r>
        <w:rPr>
          <w:rFonts w:hint="eastAsia" w:ascii="仿宋_GB2312" w:hAnsi="仿宋_GB2312" w:eastAsia="仿宋_GB2312"/>
          <w:b w:val="0"/>
          <w:color w:val="auto"/>
          <w:sz w:val="24"/>
          <w:szCs w:val="28"/>
        </w:rPr>
        <w:t>DB 32/4440</w:t>
      </w:r>
      <w:r>
        <w:rPr>
          <w:rFonts w:hint="eastAsia"/>
          <w:b w:val="0"/>
          <w:color w:val="auto"/>
          <w:sz w:val="24"/>
          <w:szCs w:val="28"/>
          <w:lang w:val="en-US" w:eastAsia="zh-CN"/>
        </w:rPr>
        <w:t xml:space="preserve">  </w:t>
      </w:r>
      <w:r>
        <w:rPr>
          <w:rFonts w:hint="eastAsia" w:ascii="仿宋_GB2312" w:hAnsi="仿宋_GB2312" w:eastAsia="仿宋_GB2312"/>
          <w:b w:val="0"/>
          <w:color w:val="auto"/>
          <w:sz w:val="24"/>
          <w:szCs w:val="28"/>
        </w:rPr>
        <w:t xml:space="preserve">城镇污水处理厂污染物排放标准 </w:t>
      </w:r>
    </w:p>
    <w:p w14:paraId="7A122E7F">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eastAsia" w:ascii="仿宋_GB2312" w:hAnsi="仿宋_GB2312" w:eastAsia="仿宋_GB2312"/>
          <w:b w:val="0"/>
          <w:color w:val="auto"/>
          <w:sz w:val="24"/>
          <w:szCs w:val="28"/>
        </w:rPr>
      </w:pPr>
      <w:r>
        <w:rPr>
          <w:rFonts w:hint="eastAsia" w:ascii="仿宋_GB2312" w:hAnsi="仿宋_GB2312" w:eastAsia="仿宋_GB2312"/>
          <w:b w:val="0"/>
          <w:color w:val="auto"/>
          <w:sz w:val="24"/>
          <w:szCs w:val="28"/>
        </w:rPr>
        <w:t>DB 32/1072</w:t>
      </w:r>
      <w:r>
        <w:rPr>
          <w:rFonts w:hint="eastAsia"/>
          <w:b w:val="0"/>
          <w:color w:val="auto"/>
          <w:sz w:val="24"/>
          <w:szCs w:val="28"/>
          <w:lang w:val="en-US" w:eastAsia="zh-CN"/>
        </w:rPr>
        <w:t xml:space="preserve">  </w:t>
      </w:r>
      <w:r>
        <w:rPr>
          <w:rFonts w:hint="eastAsia" w:ascii="仿宋_GB2312" w:hAnsi="仿宋_GB2312" w:eastAsia="仿宋_GB2312"/>
          <w:b w:val="0"/>
          <w:color w:val="auto"/>
          <w:sz w:val="24"/>
          <w:szCs w:val="28"/>
        </w:rPr>
        <w:t>太湖地区城镇污水处理厂及重点工业行业主要水污染物排放限值</w:t>
      </w:r>
    </w:p>
    <w:p w14:paraId="1E341117">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eastAsia" w:ascii="仿宋_GB2312" w:hAnsi="仿宋_GB2312" w:eastAsia="仿宋_GB2312"/>
          <w:b w:val="0"/>
          <w:color w:val="auto"/>
          <w:sz w:val="24"/>
          <w:szCs w:val="28"/>
        </w:rPr>
      </w:pPr>
      <w:r>
        <w:rPr>
          <w:rFonts w:hint="eastAsia" w:ascii="仿宋_GB2312" w:hAnsi="仿宋_GB2312" w:eastAsia="仿宋_GB2312"/>
          <w:b w:val="0"/>
          <w:color w:val="auto"/>
          <w:sz w:val="24"/>
          <w:szCs w:val="28"/>
        </w:rPr>
        <w:t>DB 32/939</w:t>
      </w:r>
      <w:r>
        <w:rPr>
          <w:rFonts w:hint="eastAsia"/>
          <w:b w:val="0"/>
          <w:color w:val="auto"/>
          <w:sz w:val="24"/>
          <w:szCs w:val="28"/>
          <w:lang w:val="en-US" w:eastAsia="zh-CN"/>
        </w:rPr>
        <w:t xml:space="preserve">  </w:t>
      </w:r>
      <w:r>
        <w:rPr>
          <w:rFonts w:hint="eastAsia" w:ascii="仿宋_GB2312" w:hAnsi="仿宋_GB2312" w:eastAsia="仿宋_GB2312"/>
          <w:b w:val="0"/>
          <w:color w:val="auto"/>
          <w:sz w:val="24"/>
          <w:szCs w:val="28"/>
        </w:rPr>
        <w:t>江苏省化学工业水污染物排放标准</w:t>
      </w:r>
    </w:p>
    <w:p w14:paraId="5C2FD9B1">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eastAsia" w:ascii="仿宋_GB2312" w:hAnsi="仿宋_GB2312" w:eastAsia="仿宋_GB2312"/>
          <w:b w:val="0"/>
          <w:color w:val="auto"/>
          <w:sz w:val="24"/>
          <w:szCs w:val="28"/>
        </w:rPr>
      </w:pPr>
      <w:r>
        <w:rPr>
          <w:rFonts w:hint="eastAsia" w:ascii="仿宋_GB2312" w:hAnsi="仿宋_GB2312" w:eastAsia="仿宋_GB2312"/>
          <w:b w:val="0"/>
          <w:color w:val="auto"/>
          <w:sz w:val="24"/>
          <w:szCs w:val="28"/>
        </w:rPr>
        <w:t>HJ 91.1</w:t>
      </w:r>
      <w:r>
        <w:rPr>
          <w:rFonts w:hint="eastAsia"/>
          <w:b w:val="0"/>
          <w:color w:val="auto"/>
          <w:sz w:val="24"/>
          <w:szCs w:val="28"/>
          <w:lang w:val="en-US" w:eastAsia="zh-CN"/>
        </w:rPr>
        <w:t xml:space="preserve">  </w:t>
      </w:r>
      <w:r>
        <w:rPr>
          <w:rFonts w:hint="eastAsia" w:ascii="仿宋_GB2312" w:hAnsi="仿宋_GB2312" w:eastAsia="仿宋_GB2312"/>
          <w:b w:val="0"/>
          <w:color w:val="auto"/>
          <w:sz w:val="24"/>
          <w:szCs w:val="28"/>
        </w:rPr>
        <w:t>污水监测技术规范</w:t>
      </w:r>
    </w:p>
    <w:p w14:paraId="48800837">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eastAsia" w:ascii="仿宋_GB2312" w:hAnsi="仿宋_GB2312" w:eastAsia="仿宋_GB2312"/>
          <w:b w:val="0"/>
          <w:color w:val="auto"/>
          <w:sz w:val="24"/>
          <w:szCs w:val="28"/>
        </w:rPr>
      </w:pPr>
      <w:r>
        <w:rPr>
          <w:rFonts w:hint="eastAsia" w:ascii="仿宋_GB2312" w:hAnsi="仿宋_GB2312" w:eastAsia="仿宋_GB2312"/>
          <w:b w:val="0"/>
          <w:color w:val="auto"/>
          <w:sz w:val="24"/>
          <w:szCs w:val="28"/>
        </w:rPr>
        <w:t>HJ 1405</w:t>
      </w:r>
      <w:r>
        <w:rPr>
          <w:rFonts w:hint="eastAsia"/>
          <w:b w:val="0"/>
          <w:color w:val="auto"/>
          <w:sz w:val="24"/>
          <w:szCs w:val="28"/>
          <w:lang w:val="en-US" w:eastAsia="zh-CN"/>
        </w:rPr>
        <w:t xml:space="preserve">  </w:t>
      </w:r>
      <w:r>
        <w:rPr>
          <w:rFonts w:hint="eastAsia" w:ascii="仿宋_GB2312" w:hAnsi="仿宋_GB2312" w:eastAsia="仿宋_GB2312"/>
          <w:b w:val="0"/>
          <w:color w:val="auto"/>
          <w:sz w:val="24"/>
          <w:szCs w:val="28"/>
        </w:rPr>
        <w:t>排污单位污染物排放口监测点位设置技术规范</w:t>
      </w:r>
    </w:p>
    <w:p w14:paraId="75919697">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eastAsia" w:ascii="仿宋_GB2312" w:hAnsi="仿宋_GB2312" w:eastAsia="仿宋_GB2312"/>
          <w:b w:val="0"/>
          <w:color w:val="auto"/>
          <w:sz w:val="24"/>
          <w:szCs w:val="28"/>
        </w:rPr>
      </w:pPr>
      <w:r>
        <w:rPr>
          <w:rFonts w:hint="eastAsia" w:ascii="仿宋_GB2312" w:hAnsi="仿宋_GB2312" w:eastAsia="仿宋_GB2312"/>
          <w:b w:val="0"/>
          <w:color w:val="auto"/>
          <w:sz w:val="24"/>
          <w:szCs w:val="28"/>
        </w:rPr>
        <w:t>HJ 1297</w:t>
      </w:r>
      <w:r>
        <w:rPr>
          <w:rFonts w:hint="eastAsia"/>
          <w:b w:val="0"/>
          <w:color w:val="auto"/>
          <w:sz w:val="24"/>
          <w:szCs w:val="28"/>
          <w:lang w:val="en-US" w:eastAsia="zh-CN"/>
        </w:rPr>
        <w:t xml:space="preserve">  </w:t>
      </w:r>
      <w:r>
        <w:rPr>
          <w:rFonts w:hint="eastAsia" w:ascii="仿宋_GB2312" w:hAnsi="仿宋_GB2312" w:eastAsia="仿宋_GB2312"/>
          <w:b w:val="0"/>
          <w:color w:val="auto"/>
          <w:sz w:val="24"/>
          <w:szCs w:val="28"/>
        </w:rPr>
        <w:t>排放口二维码标识技术规范</w:t>
      </w:r>
      <w:r>
        <w:rPr>
          <w:rFonts w:hint="eastAsia" w:ascii="仿宋_GB2312" w:hAnsi="仿宋_GB2312" w:eastAsia="仿宋_GB2312"/>
          <w:b w:val="0"/>
          <w:color w:val="auto"/>
          <w:sz w:val="24"/>
          <w:szCs w:val="28"/>
        </w:rPr>
        <w:tab/>
      </w:r>
    </w:p>
    <w:p w14:paraId="34212A02">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eastAsia" w:ascii="仿宋_GB2312" w:hAnsi="仿宋_GB2312" w:eastAsia="仿宋_GB2312"/>
          <w:b w:val="0"/>
          <w:color w:val="auto"/>
          <w:sz w:val="24"/>
          <w:szCs w:val="28"/>
        </w:rPr>
      </w:pPr>
      <w:r>
        <w:rPr>
          <w:rFonts w:hint="eastAsia" w:ascii="仿宋_GB2312" w:hAnsi="仿宋_GB2312" w:eastAsia="仿宋_GB2312"/>
          <w:b w:val="0"/>
          <w:color w:val="auto"/>
          <w:sz w:val="24"/>
          <w:szCs w:val="28"/>
        </w:rPr>
        <w:t>HJ 819</w:t>
      </w:r>
      <w:r>
        <w:rPr>
          <w:rFonts w:hint="eastAsia"/>
          <w:b w:val="0"/>
          <w:color w:val="auto"/>
          <w:sz w:val="24"/>
          <w:szCs w:val="28"/>
          <w:lang w:val="en-US" w:eastAsia="zh-CN"/>
        </w:rPr>
        <w:t xml:space="preserve">  </w:t>
      </w:r>
      <w:r>
        <w:rPr>
          <w:rFonts w:hint="eastAsia" w:ascii="仿宋_GB2312" w:hAnsi="仿宋_GB2312" w:eastAsia="仿宋_GB2312"/>
          <w:b w:val="0"/>
          <w:color w:val="auto"/>
          <w:sz w:val="24"/>
          <w:szCs w:val="28"/>
        </w:rPr>
        <w:t>排污单位自行监测技术指南 总则</w:t>
      </w:r>
    </w:p>
    <w:p w14:paraId="4C32425B">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eastAsia" w:ascii="仿宋_GB2312" w:hAnsi="仿宋_GB2312" w:eastAsia="仿宋_GB2312"/>
          <w:b w:val="0"/>
          <w:color w:val="auto"/>
          <w:sz w:val="24"/>
          <w:szCs w:val="28"/>
        </w:rPr>
      </w:pPr>
      <w:r>
        <w:rPr>
          <w:rFonts w:hint="eastAsia" w:ascii="仿宋_GB2312" w:hAnsi="仿宋_GB2312" w:eastAsia="仿宋_GB2312"/>
          <w:b w:val="0"/>
          <w:color w:val="auto"/>
          <w:sz w:val="24"/>
          <w:szCs w:val="28"/>
        </w:rPr>
        <w:t>HJ 985</w:t>
      </w:r>
      <w:r>
        <w:rPr>
          <w:rFonts w:hint="eastAsia"/>
          <w:b w:val="0"/>
          <w:color w:val="auto"/>
          <w:sz w:val="24"/>
          <w:szCs w:val="28"/>
          <w:lang w:val="en-US" w:eastAsia="zh-CN"/>
        </w:rPr>
        <w:t xml:space="preserve">  </w:t>
      </w:r>
      <w:r>
        <w:rPr>
          <w:rFonts w:hint="eastAsia" w:ascii="仿宋_GB2312" w:hAnsi="仿宋_GB2312" w:eastAsia="仿宋_GB2312"/>
          <w:b w:val="0"/>
          <w:color w:val="auto"/>
          <w:sz w:val="24"/>
          <w:szCs w:val="28"/>
        </w:rPr>
        <w:t>排污单位自行监测技术指南 电镀工业</w:t>
      </w:r>
    </w:p>
    <w:p w14:paraId="2BC58C2F">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eastAsia" w:ascii="仿宋_GB2312" w:hAnsi="仿宋_GB2312" w:eastAsia="仿宋_GB2312"/>
          <w:b w:val="0"/>
          <w:color w:val="auto"/>
          <w:sz w:val="24"/>
          <w:szCs w:val="28"/>
        </w:rPr>
      </w:pPr>
      <w:r>
        <w:rPr>
          <w:rFonts w:hint="eastAsia" w:ascii="仿宋_GB2312" w:hAnsi="仿宋_GB2312" w:eastAsia="仿宋_GB2312"/>
          <w:b w:val="0"/>
          <w:color w:val="auto"/>
          <w:sz w:val="24"/>
          <w:szCs w:val="28"/>
        </w:rPr>
        <w:t>HJ 947</w:t>
      </w:r>
      <w:r>
        <w:rPr>
          <w:rFonts w:hint="eastAsia"/>
          <w:b w:val="0"/>
          <w:color w:val="auto"/>
          <w:sz w:val="24"/>
          <w:szCs w:val="28"/>
          <w:lang w:val="en-US" w:eastAsia="zh-CN"/>
        </w:rPr>
        <w:t xml:space="preserve">  </w:t>
      </w:r>
      <w:r>
        <w:rPr>
          <w:rFonts w:hint="eastAsia" w:ascii="仿宋_GB2312" w:hAnsi="仿宋_GB2312" w:eastAsia="仿宋_GB2312"/>
          <w:b w:val="0"/>
          <w:color w:val="auto"/>
          <w:sz w:val="24"/>
          <w:szCs w:val="28"/>
        </w:rPr>
        <w:t>排污单位自行监测技术指南 石油化学工业</w:t>
      </w:r>
    </w:p>
    <w:p w14:paraId="7A2FF983">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eastAsia" w:ascii="仿宋_GB2312" w:hAnsi="仿宋_GB2312" w:eastAsia="仿宋_GB2312"/>
          <w:b w:val="0"/>
          <w:color w:val="auto"/>
          <w:sz w:val="24"/>
          <w:szCs w:val="28"/>
        </w:rPr>
      </w:pPr>
      <w:r>
        <w:rPr>
          <w:rFonts w:hint="eastAsia" w:ascii="仿宋_GB2312" w:hAnsi="仿宋_GB2312" w:eastAsia="仿宋_GB2312"/>
          <w:b w:val="0"/>
          <w:color w:val="auto"/>
          <w:sz w:val="24"/>
          <w:szCs w:val="28"/>
        </w:rPr>
        <w:t>HJ 879</w:t>
      </w:r>
      <w:r>
        <w:rPr>
          <w:rFonts w:hint="eastAsia"/>
          <w:b w:val="0"/>
          <w:color w:val="auto"/>
          <w:sz w:val="24"/>
          <w:szCs w:val="28"/>
          <w:lang w:val="en-US" w:eastAsia="zh-CN"/>
        </w:rPr>
        <w:t xml:space="preserve">  </w:t>
      </w:r>
      <w:r>
        <w:rPr>
          <w:rFonts w:hint="eastAsia" w:ascii="仿宋_GB2312" w:hAnsi="仿宋_GB2312" w:eastAsia="仿宋_GB2312"/>
          <w:b w:val="0"/>
          <w:color w:val="auto"/>
          <w:sz w:val="24"/>
          <w:szCs w:val="28"/>
        </w:rPr>
        <w:t>排污单位自行监测技术指南 纺织印染工业</w:t>
      </w:r>
    </w:p>
    <w:p w14:paraId="09DC16EA">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eastAsia" w:ascii="仿宋_GB2312" w:hAnsi="仿宋_GB2312" w:eastAsia="仿宋_GB2312"/>
          <w:b w:val="0"/>
          <w:color w:val="auto"/>
          <w:sz w:val="24"/>
          <w:szCs w:val="28"/>
        </w:rPr>
      </w:pPr>
      <w:r>
        <w:rPr>
          <w:rFonts w:hint="eastAsia" w:ascii="仿宋_GB2312" w:hAnsi="仿宋_GB2312" w:eastAsia="仿宋_GB2312"/>
          <w:b w:val="0"/>
          <w:color w:val="auto"/>
          <w:sz w:val="24"/>
          <w:szCs w:val="28"/>
        </w:rPr>
        <w:t>HJ 855</w:t>
      </w:r>
      <w:r>
        <w:rPr>
          <w:rFonts w:hint="eastAsia"/>
          <w:b w:val="0"/>
          <w:color w:val="auto"/>
          <w:sz w:val="24"/>
          <w:szCs w:val="28"/>
          <w:lang w:val="en-US" w:eastAsia="zh-CN"/>
        </w:rPr>
        <w:t xml:space="preserve">  </w:t>
      </w:r>
      <w:r>
        <w:rPr>
          <w:rFonts w:hint="eastAsia" w:ascii="仿宋_GB2312" w:hAnsi="仿宋_GB2312" w:eastAsia="仿宋_GB2312"/>
          <w:b w:val="0"/>
          <w:color w:val="auto"/>
          <w:sz w:val="24"/>
          <w:szCs w:val="28"/>
        </w:rPr>
        <w:t>排污许可证申请与核发技术规范 电镀工业</w:t>
      </w:r>
    </w:p>
    <w:p w14:paraId="607C7825">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eastAsia" w:ascii="仿宋_GB2312" w:hAnsi="仿宋_GB2312" w:eastAsia="仿宋_GB2312"/>
          <w:b w:val="0"/>
          <w:color w:val="auto"/>
          <w:sz w:val="24"/>
          <w:szCs w:val="28"/>
        </w:rPr>
      </w:pPr>
      <w:r>
        <w:rPr>
          <w:rFonts w:hint="eastAsia" w:ascii="仿宋_GB2312" w:hAnsi="仿宋_GB2312" w:eastAsia="仿宋_GB2312"/>
          <w:b w:val="0"/>
          <w:color w:val="auto"/>
          <w:sz w:val="24"/>
          <w:szCs w:val="28"/>
        </w:rPr>
        <w:t>HJ 853</w:t>
      </w:r>
      <w:r>
        <w:rPr>
          <w:rFonts w:hint="eastAsia"/>
          <w:b w:val="0"/>
          <w:color w:val="auto"/>
          <w:sz w:val="24"/>
          <w:szCs w:val="28"/>
          <w:lang w:val="en-US" w:eastAsia="zh-CN"/>
        </w:rPr>
        <w:t xml:space="preserve">  </w:t>
      </w:r>
      <w:r>
        <w:rPr>
          <w:rFonts w:hint="eastAsia" w:ascii="仿宋_GB2312" w:hAnsi="仿宋_GB2312" w:eastAsia="仿宋_GB2312"/>
          <w:b w:val="0"/>
          <w:color w:val="auto"/>
          <w:sz w:val="24"/>
          <w:szCs w:val="28"/>
        </w:rPr>
        <w:t>排污许可证申请与核发技术规范 石化工业</w:t>
      </w:r>
    </w:p>
    <w:p w14:paraId="13225740">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eastAsia" w:ascii="仿宋_GB2312" w:hAnsi="仿宋_GB2312" w:eastAsia="仿宋_GB2312"/>
          <w:b w:val="0"/>
          <w:color w:val="auto"/>
          <w:sz w:val="24"/>
          <w:szCs w:val="28"/>
        </w:rPr>
      </w:pPr>
      <w:r>
        <w:rPr>
          <w:rFonts w:hint="eastAsia" w:ascii="仿宋_GB2312" w:hAnsi="仿宋_GB2312" w:eastAsia="仿宋_GB2312"/>
          <w:b w:val="0"/>
          <w:color w:val="auto"/>
          <w:sz w:val="24"/>
          <w:szCs w:val="28"/>
        </w:rPr>
        <w:t>HJ 858.1</w:t>
      </w:r>
      <w:r>
        <w:rPr>
          <w:rFonts w:hint="eastAsia"/>
          <w:b w:val="0"/>
          <w:color w:val="auto"/>
          <w:sz w:val="24"/>
          <w:szCs w:val="28"/>
          <w:lang w:val="en-US" w:eastAsia="zh-CN"/>
        </w:rPr>
        <w:t xml:space="preserve">  </w:t>
      </w:r>
      <w:r>
        <w:rPr>
          <w:rFonts w:hint="eastAsia" w:ascii="仿宋_GB2312" w:hAnsi="仿宋_GB2312" w:eastAsia="仿宋_GB2312"/>
          <w:b w:val="0"/>
          <w:color w:val="auto"/>
          <w:sz w:val="24"/>
          <w:szCs w:val="28"/>
        </w:rPr>
        <w:t>排污许可证申请与核发技术规范 制药工业-原料药制造</w:t>
      </w:r>
    </w:p>
    <w:p w14:paraId="7C4EF33C">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eastAsia" w:ascii="仿宋_GB2312" w:hAnsi="仿宋_GB2312" w:eastAsia="仿宋_GB2312"/>
          <w:b w:val="0"/>
          <w:color w:val="auto"/>
          <w:sz w:val="24"/>
          <w:szCs w:val="28"/>
        </w:rPr>
      </w:pPr>
      <w:r>
        <w:rPr>
          <w:rFonts w:hint="eastAsia" w:ascii="仿宋_GB2312" w:hAnsi="仿宋_GB2312" w:eastAsia="仿宋_GB2312"/>
          <w:b w:val="0"/>
          <w:color w:val="auto"/>
          <w:sz w:val="24"/>
          <w:szCs w:val="28"/>
        </w:rPr>
        <w:t>HJ 864.1</w:t>
      </w:r>
      <w:r>
        <w:rPr>
          <w:rFonts w:hint="eastAsia"/>
          <w:b w:val="0"/>
          <w:color w:val="auto"/>
          <w:sz w:val="24"/>
          <w:szCs w:val="28"/>
          <w:lang w:val="en-US" w:eastAsia="zh-CN"/>
        </w:rPr>
        <w:t xml:space="preserve">  </w:t>
      </w:r>
      <w:r>
        <w:rPr>
          <w:rFonts w:hint="eastAsia" w:ascii="仿宋_GB2312" w:hAnsi="仿宋_GB2312" w:eastAsia="仿宋_GB2312"/>
          <w:b w:val="0"/>
          <w:color w:val="auto"/>
          <w:sz w:val="24"/>
          <w:szCs w:val="28"/>
        </w:rPr>
        <w:t>排污许可证申请与核发技术规范 化肥工业-氮肥</w:t>
      </w:r>
    </w:p>
    <w:p w14:paraId="5F9296E5">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eastAsia" w:ascii="仿宋_GB2312" w:hAnsi="仿宋_GB2312" w:eastAsia="仿宋_GB2312"/>
          <w:b w:val="0"/>
          <w:color w:val="auto"/>
          <w:sz w:val="24"/>
          <w:szCs w:val="28"/>
        </w:rPr>
      </w:pPr>
      <w:r>
        <w:rPr>
          <w:rFonts w:hint="eastAsia" w:ascii="仿宋_GB2312" w:hAnsi="仿宋_GB2312" w:eastAsia="仿宋_GB2312"/>
          <w:b w:val="0"/>
          <w:color w:val="auto"/>
          <w:sz w:val="24"/>
          <w:szCs w:val="28"/>
        </w:rPr>
        <w:t>GB/T 50483</w:t>
      </w:r>
      <w:r>
        <w:rPr>
          <w:rFonts w:hint="eastAsia"/>
          <w:b w:val="0"/>
          <w:color w:val="auto"/>
          <w:sz w:val="24"/>
          <w:szCs w:val="28"/>
          <w:lang w:val="en-US" w:eastAsia="zh-CN"/>
        </w:rPr>
        <w:t xml:space="preserve">  </w:t>
      </w:r>
      <w:r>
        <w:rPr>
          <w:rFonts w:hint="eastAsia" w:ascii="仿宋_GB2312" w:hAnsi="仿宋_GB2312" w:eastAsia="仿宋_GB2312"/>
          <w:b w:val="0"/>
          <w:color w:val="auto"/>
          <w:sz w:val="24"/>
          <w:szCs w:val="28"/>
        </w:rPr>
        <w:t>化工建设项目环境保护工程设计标准</w:t>
      </w:r>
      <w:r>
        <w:rPr>
          <w:rFonts w:hint="eastAsia" w:ascii="仿宋_GB2312" w:hAnsi="仿宋_GB2312" w:eastAsia="仿宋_GB2312"/>
          <w:b w:val="0"/>
          <w:color w:val="auto"/>
          <w:sz w:val="24"/>
          <w:szCs w:val="28"/>
        </w:rPr>
        <w:tab/>
      </w:r>
    </w:p>
    <w:p w14:paraId="08990716">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eastAsia" w:ascii="仿宋_GB2312" w:hAnsi="仿宋_GB2312" w:eastAsia="仿宋_GB2312"/>
          <w:b w:val="0"/>
          <w:color w:val="auto"/>
          <w:sz w:val="24"/>
          <w:szCs w:val="28"/>
        </w:rPr>
      </w:pPr>
      <w:r>
        <w:rPr>
          <w:rFonts w:hint="eastAsia" w:ascii="仿宋_GB2312" w:hAnsi="仿宋_GB2312" w:eastAsia="仿宋_GB2312"/>
          <w:b w:val="0"/>
          <w:color w:val="auto"/>
          <w:sz w:val="24"/>
          <w:szCs w:val="28"/>
        </w:rPr>
        <w:t>SH/T 3015</w:t>
      </w:r>
      <w:r>
        <w:rPr>
          <w:rFonts w:hint="eastAsia"/>
          <w:b w:val="0"/>
          <w:color w:val="auto"/>
          <w:sz w:val="24"/>
          <w:szCs w:val="28"/>
          <w:lang w:val="en-US" w:eastAsia="zh-CN"/>
        </w:rPr>
        <w:t xml:space="preserve">  </w:t>
      </w:r>
      <w:r>
        <w:rPr>
          <w:rFonts w:hint="eastAsia" w:ascii="仿宋_GB2312" w:hAnsi="仿宋_GB2312" w:eastAsia="仿宋_GB2312"/>
          <w:b w:val="0"/>
          <w:color w:val="auto"/>
          <w:sz w:val="24"/>
          <w:szCs w:val="28"/>
        </w:rPr>
        <w:t>石油化工给水排水系统设计规范</w:t>
      </w:r>
    </w:p>
    <w:p w14:paraId="6D3DBDF1">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ascii="仿宋_GB2312" w:hAnsi="仿宋_GB2312" w:eastAsia="仿宋_GB2312"/>
          <w:b w:val="0"/>
          <w:color w:val="auto"/>
          <w:sz w:val="24"/>
          <w:szCs w:val="28"/>
        </w:rPr>
      </w:pPr>
      <w:r>
        <w:rPr>
          <w:rFonts w:hint="eastAsia"/>
          <w:b w:val="0"/>
          <w:color w:val="auto"/>
          <w:sz w:val="24"/>
          <w:szCs w:val="28"/>
          <w:lang w:val="en-US" w:eastAsia="zh-CN"/>
        </w:rPr>
        <w:t>《</w:t>
      </w:r>
      <w:r>
        <w:rPr>
          <w:rFonts w:ascii="仿宋_GB2312" w:hAnsi="仿宋_GB2312" w:eastAsia="仿宋_GB2312"/>
          <w:b w:val="0"/>
          <w:color w:val="auto"/>
          <w:sz w:val="24"/>
          <w:szCs w:val="28"/>
        </w:rPr>
        <w:t>江苏省重点行业工业企业雨水排放环境管理办法（试行）</w:t>
      </w:r>
      <w:r>
        <w:rPr>
          <w:rFonts w:hint="eastAsia"/>
          <w:b w:val="0"/>
          <w:color w:val="auto"/>
          <w:sz w:val="24"/>
          <w:szCs w:val="28"/>
          <w:lang w:val="en-US" w:eastAsia="zh-CN"/>
        </w:rPr>
        <w:t>》（</w:t>
      </w:r>
      <w:r>
        <w:rPr>
          <w:rFonts w:ascii="仿宋_GB2312" w:hAnsi="仿宋_GB2312" w:eastAsia="仿宋_GB2312"/>
          <w:b w:val="0"/>
          <w:color w:val="auto"/>
          <w:sz w:val="24"/>
          <w:szCs w:val="28"/>
        </w:rPr>
        <w:t>苏污防攻坚指办〔2023〕71号</w:t>
      </w:r>
      <w:r>
        <w:rPr>
          <w:rFonts w:hint="eastAsia"/>
          <w:b w:val="0"/>
          <w:color w:val="auto"/>
          <w:sz w:val="24"/>
          <w:szCs w:val="28"/>
          <w:lang w:val="en-US" w:eastAsia="zh-CN"/>
        </w:rPr>
        <w:t>）</w:t>
      </w:r>
    </w:p>
    <w:p w14:paraId="274605E8">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eastAsia" w:ascii="仿宋_GB2312" w:hAnsi="仿宋_GB2312" w:eastAsia="仿宋_GB2312"/>
          <w:b w:val="0"/>
          <w:color w:val="auto"/>
          <w:sz w:val="24"/>
          <w:szCs w:val="28"/>
        </w:rPr>
      </w:pPr>
      <w:r>
        <w:rPr>
          <w:rFonts w:hint="eastAsia"/>
          <w:b w:val="0"/>
          <w:color w:val="auto"/>
          <w:sz w:val="24"/>
          <w:szCs w:val="28"/>
          <w:lang w:eastAsia="zh-CN"/>
        </w:rPr>
        <w:t>《</w:t>
      </w:r>
      <w:r>
        <w:rPr>
          <w:rFonts w:hint="eastAsia" w:ascii="仿宋_GB2312" w:hAnsi="仿宋_GB2312" w:eastAsia="仿宋_GB2312"/>
          <w:b w:val="0"/>
          <w:color w:val="auto"/>
          <w:sz w:val="24"/>
          <w:szCs w:val="28"/>
        </w:rPr>
        <w:t>中华人民共和国生态环境法典</w:t>
      </w:r>
      <w:r>
        <w:rPr>
          <w:rFonts w:hint="eastAsia"/>
          <w:b w:val="0"/>
          <w:color w:val="auto"/>
          <w:sz w:val="24"/>
          <w:szCs w:val="28"/>
          <w:lang w:eastAsia="zh-CN"/>
        </w:rPr>
        <w:t>》</w:t>
      </w:r>
    </w:p>
    <w:p w14:paraId="2129997B">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eastAsia" w:ascii="仿宋_GB2312" w:hAnsi="仿宋_GB2312" w:eastAsia="仿宋_GB2312"/>
          <w:b w:val="0"/>
          <w:color w:val="auto"/>
          <w:sz w:val="24"/>
          <w:szCs w:val="28"/>
          <w:lang w:eastAsia="zh-CN"/>
        </w:rPr>
      </w:pPr>
      <w:r>
        <w:rPr>
          <w:rFonts w:hint="eastAsia"/>
          <w:b w:val="0"/>
          <w:color w:val="auto"/>
          <w:sz w:val="24"/>
          <w:szCs w:val="28"/>
          <w:lang w:eastAsia="zh-CN"/>
        </w:rPr>
        <w:t>《</w:t>
      </w:r>
      <w:r>
        <w:rPr>
          <w:rFonts w:hint="eastAsia" w:ascii="仿宋_GB2312" w:hAnsi="仿宋_GB2312" w:eastAsia="仿宋_GB2312"/>
          <w:b w:val="0"/>
          <w:color w:val="auto"/>
          <w:sz w:val="24"/>
          <w:szCs w:val="28"/>
        </w:rPr>
        <w:t>排污许可管理条例</w:t>
      </w:r>
      <w:r>
        <w:rPr>
          <w:rFonts w:hint="eastAsia"/>
          <w:b w:val="0"/>
          <w:color w:val="auto"/>
          <w:sz w:val="24"/>
          <w:szCs w:val="28"/>
          <w:lang w:eastAsia="zh-CN"/>
        </w:rPr>
        <w:t>》</w:t>
      </w:r>
    </w:p>
    <w:p w14:paraId="394A2FCC">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eastAsia" w:ascii="仿宋_GB2312" w:hAnsi="仿宋_GB2312" w:eastAsia="仿宋_GB2312"/>
          <w:b w:val="0"/>
          <w:color w:val="auto"/>
          <w:sz w:val="24"/>
          <w:szCs w:val="28"/>
        </w:rPr>
      </w:pPr>
      <w:r>
        <w:rPr>
          <w:rFonts w:hint="eastAsia"/>
          <w:b w:val="0"/>
          <w:color w:val="auto"/>
          <w:sz w:val="24"/>
          <w:szCs w:val="28"/>
          <w:lang w:eastAsia="zh-CN"/>
        </w:rPr>
        <w:t>《</w:t>
      </w:r>
      <w:r>
        <w:rPr>
          <w:rFonts w:hint="eastAsia" w:ascii="仿宋_GB2312" w:hAnsi="仿宋_GB2312" w:eastAsia="仿宋_GB2312"/>
          <w:b w:val="0"/>
          <w:color w:val="auto"/>
          <w:sz w:val="24"/>
          <w:szCs w:val="28"/>
        </w:rPr>
        <w:t>太湖流域管理条例</w:t>
      </w:r>
      <w:r>
        <w:rPr>
          <w:rFonts w:hint="eastAsia"/>
          <w:b w:val="0"/>
          <w:color w:val="auto"/>
          <w:sz w:val="24"/>
          <w:szCs w:val="28"/>
          <w:lang w:eastAsia="zh-CN"/>
        </w:rPr>
        <w:t>》</w:t>
      </w:r>
    </w:p>
    <w:p w14:paraId="04CD1AB6">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eastAsia" w:ascii="仿宋_GB2312" w:hAnsi="仿宋_GB2312" w:eastAsia="仿宋_GB2312"/>
          <w:b w:val="0"/>
          <w:color w:val="auto"/>
          <w:sz w:val="24"/>
          <w:szCs w:val="28"/>
        </w:rPr>
      </w:pPr>
      <w:r>
        <w:rPr>
          <w:rFonts w:hint="eastAsia"/>
          <w:b w:val="0"/>
          <w:color w:val="auto"/>
          <w:sz w:val="24"/>
          <w:szCs w:val="28"/>
          <w:lang w:eastAsia="zh-CN"/>
        </w:rPr>
        <w:t>《</w:t>
      </w:r>
      <w:r>
        <w:rPr>
          <w:rFonts w:hint="eastAsia" w:ascii="仿宋_GB2312" w:hAnsi="仿宋_GB2312" w:eastAsia="仿宋_GB2312"/>
          <w:b w:val="0"/>
          <w:color w:val="auto"/>
          <w:sz w:val="24"/>
          <w:szCs w:val="28"/>
        </w:rPr>
        <w:t>江苏省水污染防治条例</w:t>
      </w:r>
      <w:r>
        <w:rPr>
          <w:rFonts w:hint="eastAsia"/>
          <w:b w:val="0"/>
          <w:color w:val="auto"/>
          <w:sz w:val="24"/>
          <w:szCs w:val="28"/>
          <w:lang w:eastAsia="zh-CN"/>
        </w:rPr>
        <w:t>》</w:t>
      </w:r>
    </w:p>
    <w:p w14:paraId="6D999968">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ascii="仿宋_GB2312" w:hAnsi="仿宋_GB2312" w:eastAsia="仿宋_GB2312"/>
          <w:b w:val="0"/>
          <w:color w:val="auto"/>
          <w:sz w:val="24"/>
          <w:szCs w:val="28"/>
        </w:rPr>
      </w:pPr>
      <w:r>
        <w:rPr>
          <w:rFonts w:hint="eastAsia"/>
          <w:b w:val="0"/>
          <w:color w:val="auto"/>
          <w:sz w:val="24"/>
          <w:szCs w:val="28"/>
          <w:lang w:eastAsia="zh-CN"/>
        </w:rPr>
        <w:t>《</w:t>
      </w:r>
      <w:r>
        <w:rPr>
          <w:rFonts w:hint="eastAsia" w:ascii="仿宋_GB2312" w:hAnsi="仿宋_GB2312" w:eastAsia="仿宋_GB2312"/>
          <w:b w:val="0"/>
          <w:color w:val="auto"/>
          <w:sz w:val="24"/>
          <w:szCs w:val="28"/>
        </w:rPr>
        <w:t>江苏省太湖水污染防治条例</w:t>
      </w:r>
      <w:r>
        <w:rPr>
          <w:rFonts w:hint="eastAsia"/>
          <w:b w:val="0"/>
          <w:color w:val="auto"/>
          <w:sz w:val="24"/>
          <w:szCs w:val="28"/>
          <w:lang w:eastAsia="zh-CN"/>
        </w:rPr>
        <w:t>》</w:t>
      </w:r>
    </w:p>
    <w:p w14:paraId="4E8062F0">
      <w:pPr>
        <w:keepNext w:val="0"/>
        <w:keepLines w:val="0"/>
        <w:pageBreakBefore w:val="0"/>
        <w:widowControl/>
        <w:numPr>
          <w:ilvl w:val="0"/>
          <w:numId w:val="7"/>
        </w:numPr>
        <w:kinsoku/>
        <w:wordWrap/>
        <w:overflowPunct/>
        <w:topLinePunct w:val="0"/>
        <w:autoSpaceDE/>
        <w:autoSpaceDN/>
        <w:bidi w:val="0"/>
        <w:adjustRightInd/>
        <w:snapToGrid/>
        <w:spacing w:before="181" w:beforeLines="50" w:after="181" w:afterLines="50" w:line="360" w:lineRule="auto"/>
        <w:ind w:left="425" w:leftChars="0" w:hanging="425" w:firstLineChars="0"/>
        <w:textAlignment w:val="auto"/>
        <w:rPr>
          <w:rFonts w:hint="default" w:ascii="黑体" w:hAnsi="黑体" w:eastAsia="黑体"/>
          <w:b/>
          <w:color w:val="auto"/>
          <w:sz w:val="28"/>
          <w:szCs w:val="28"/>
          <w:lang w:val="en-US" w:eastAsia="zh-CN"/>
        </w:rPr>
      </w:pPr>
      <w:r>
        <w:rPr>
          <w:rFonts w:hint="eastAsia" w:ascii="黑体" w:hAnsi="黑体" w:eastAsia="黑体"/>
          <w:b/>
          <w:color w:val="auto"/>
          <w:sz w:val="28"/>
          <w:szCs w:val="28"/>
          <w:lang w:val="en-US" w:eastAsia="zh-CN"/>
        </w:rPr>
        <w:t>术语和定义</w:t>
      </w:r>
    </w:p>
    <w:p w14:paraId="612CE953">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ascii="仿宋_GB2312" w:hAnsi="仿宋_GB2312" w:eastAsia="仿宋_GB2312"/>
          <w:b w:val="0"/>
          <w:color w:val="auto"/>
          <w:sz w:val="24"/>
          <w:szCs w:val="28"/>
        </w:rPr>
      </w:pPr>
      <w:r>
        <w:rPr>
          <w:rFonts w:ascii="仿宋_GB2312" w:hAnsi="仿宋_GB2312" w:eastAsia="仿宋_GB2312"/>
          <w:b w:val="0"/>
          <w:color w:val="auto"/>
          <w:sz w:val="24"/>
          <w:szCs w:val="28"/>
        </w:rPr>
        <w:t>下列术语</w:t>
      </w:r>
      <w:r>
        <w:rPr>
          <w:rFonts w:hint="eastAsia"/>
          <w:b w:val="0"/>
          <w:color w:val="auto"/>
          <w:sz w:val="24"/>
          <w:szCs w:val="28"/>
          <w:lang w:val="en-US" w:eastAsia="zh-CN"/>
        </w:rPr>
        <w:t>和</w:t>
      </w:r>
      <w:r>
        <w:rPr>
          <w:rFonts w:ascii="仿宋_GB2312" w:hAnsi="仿宋_GB2312" w:eastAsia="仿宋_GB2312"/>
          <w:b w:val="0"/>
          <w:color w:val="auto"/>
          <w:sz w:val="24"/>
          <w:szCs w:val="28"/>
        </w:rPr>
        <w:t>定义适用于本文件。</w:t>
      </w:r>
    </w:p>
    <w:p w14:paraId="5FBEEF61">
      <w:pPr>
        <w:keepNext w:val="0"/>
        <w:keepLines w:val="0"/>
        <w:pageBreakBefore w:val="0"/>
        <w:widowControl/>
        <w:numPr>
          <w:ilvl w:val="1"/>
          <w:numId w:val="7"/>
        </w:numPr>
        <w:kinsoku/>
        <w:wordWrap/>
        <w:overflowPunct/>
        <w:topLinePunct w:val="0"/>
        <w:autoSpaceDE/>
        <w:autoSpaceDN/>
        <w:bidi w:val="0"/>
        <w:adjustRightInd/>
        <w:snapToGrid/>
        <w:spacing w:after="0" w:line="360" w:lineRule="auto"/>
        <w:ind w:left="567" w:leftChars="0" w:hanging="567" w:firstLineChars="0"/>
        <w:jc w:val="left"/>
        <w:textAlignment w:val="auto"/>
        <w:rPr>
          <w:rFonts w:ascii="仿宋_GB2312" w:hAnsi="仿宋_GB2312" w:eastAsia="仿宋_GB2312"/>
          <w:b/>
          <w:bCs/>
          <w:color w:val="auto"/>
          <w:sz w:val="24"/>
          <w:szCs w:val="28"/>
        </w:rPr>
      </w:pPr>
      <w:r>
        <w:rPr>
          <w:rFonts w:ascii="仿宋_GB2312" w:hAnsi="仿宋_GB2312" w:eastAsia="仿宋_GB2312"/>
          <w:b/>
          <w:bCs/>
          <w:color w:val="auto"/>
          <w:sz w:val="24"/>
          <w:szCs w:val="28"/>
        </w:rPr>
        <w:t>重点行业</w:t>
      </w:r>
    </w:p>
    <w:p w14:paraId="605A7CE3">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ascii="仿宋_GB2312" w:hAnsi="仿宋_GB2312" w:eastAsia="仿宋_GB2312"/>
          <w:b w:val="0"/>
          <w:color w:val="auto"/>
          <w:sz w:val="24"/>
          <w:szCs w:val="28"/>
        </w:rPr>
      </w:pPr>
      <w:r>
        <w:rPr>
          <w:rFonts w:ascii="仿宋_GB2312" w:hAnsi="仿宋_GB2312" w:eastAsia="仿宋_GB2312"/>
          <w:b w:val="0"/>
          <w:color w:val="auto"/>
          <w:sz w:val="24"/>
          <w:szCs w:val="28"/>
        </w:rPr>
        <w:t>指对水环境质量影响较大、污染物排放风险较高的工业行业。本</w:t>
      </w:r>
      <w:r>
        <w:rPr>
          <w:rFonts w:hint="eastAsia"/>
          <w:b w:val="0"/>
          <w:color w:val="auto"/>
          <w:sz w:val="24"/>
          <w:szCs w:val="28"/>
          <w:lang w:eastAsia="zh-CN"/>
        </w:rPr>
        <w:t>要求</w:t>
      </w:r>
      <w:r>
        <w:rPr>
          <w:rFonts w:ascii="仿宋_GB2312" w:hAnsi="仿宋_GB2312" w:eastAsia="仿宋_GB2312"/>
          <w:b w:val="0"/>
          <w:color w:val="auto"/>
          <w:sz w:val="24"/>
          <w:szCs w:val="28"/>
        </w:rPr>
        <w:t>所称重点行业工业企业，是指化工、电镀、原料药制造、冶炼、印染行业（或含相关工序）的工业企业。造纸、制革、平板玻璃、水泥、钢铁等行业工业企业可参照执行。[1]</w:t>
      </w:r>
    </w:p>
    <w:p w14:paraId="41A25AD8">
      <w:pPr>
        <w:keepNext w:val="0"/>
        <w:keepLines w:val="0"/>
        <w:pageBreakBefore w:val="0"/>
        <w:widowControl/>
        <w:numPr>
          <w:ilvl w:val="1"/>
          <w:numId w:val="7"/>
        </w:numPr>
        <w:kinsoku/>
        <w:wordWrap/>
        <w:overflowPunct/>
        <w:topLinePunct w:val="0"/>
        <w:autoSpaceDE/>
        <w:autoSpaceDN/>
        <w:bidi w:val="0"/>
        <w:adjustRightInd/>
        <w:snapToGrid/>
        <w:spacing w:after="0" w:line="360" w:lineRule="auto"/>
        <w:ind w:left="567" w:leftChars="0" w:hanging="567" w:firstLineChars="0"/>
        <w:jc w:val="left"/>
        <w:textAlignment w:val="auto"/>
        <w:rPr>
          <w:rFonts w:hint="eastAsia" w:ascii="仿宋_GB2312" w:hAnsi="仿宋_GB2312" w:eastAsia="仿宋_GB2312"/>
          <w:b/>
          <w:bCs/>
          <w:color w:val="auto"/>
          <w:sz w:val="24"/>
          <w:szCs w:val="28"/>
          <w:lang w:val="en-US" w:eastAsia="zh-CN"/>
        </w:rPr>
      </w:pPr>
      <w:r>
        <w:rPr>
          <w:rFonts w:hint="eastAsia" w:ascii="仿宋_GB2312" w:hAnsi="仿宋_GB2312" w:eastAsia="仿宋_GB2312"/>
          <w:b/>
          <w:bCs/>
          <w:color w:val="auto"/>
          <w:sz w:val="24"/>
          <w:szCs w:val="28"/>
          <w:lang w:val="en-US" w:eastAsia="zh-CN"/>
        </w:rPr>
        <w:t>初期雨水</w:t>
      </w:r>
    </w:p>
    <w:p w14:paraId="42C52ADA">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hint="default" w:ascii="仿宋_GB2312" w:hAnsi="仿宋_GB2312" w:eastAsia="仿宋_GB2312"/>
          <w:b w:val="0"/>
          <w:strike w:val="0"/>
          <w:color w:val="auto"/>
          <w:sz w:val="24"/>
          <w:szCs w:val="28"/>
          <w:lang w:eastAsia="zh-CN"/>
        </w:rPr>
      </w:pPr>
      <w:r>
        <w:rPr>
          <w:rFonts w:ascii="仿宋_GB2312" w:hAnsi="仿宋_GB2312" w:eastAsia="仿宋_GB2312"/>
          <w:b w:val="0"/>
          <w:color w:val="auto"/>
          <w:sz w:val="24"/>
          <w:szCs w:val="28"/>
        </w:rPr>
        <w:t>指污染区域降雨初期产生的径流雨水。一般</w:t>
      </w:r>
      <w:r>
        <w:rPr>
          <w:rFonts w:hint="eastAsia"/>
          <w:b w:val="0"/>
          <w:color w:val="auto"/>
          <w:sz w:val="24"/>
          <w:szCs w:val="28"/>
          <w:lang w:eastAsia="zh-CN"/>
        </w:rPr>
        <w:t>不应低于</w:t>
      </w:r>
      <w:r>
        <w:rPr>
          <w:rFonts w:ascii="仿宋_GB2312" w:hAnsi="仿宋_GB2312" w:eastAsia="仿宋_GB2312"/>
          <w:b w:val="0"/>
          <w:color w:val="auto"/>
          <w:sz w:val="24"/>
          <w:szCs w:val="28"/>
        </w:rPr>
        <w:t>一次降雨初期15—30分钟的雨水，</w:t>
      </w:r>
      <w:r>
        <w:rPr>
          <w:rFonts w:hint="eastAsia" w:ascii="仿宋_GB2312" w:hAnsi="仿宋_GB2312" w:eastAsia="仿宋_GB2312"/>
          <w:b w:val="0"/>
          <w:color w:val="auto"/>
          <w:sz w:val="24"/>
          <w:szCs w:val="28"/>
        </w:rPr>
        <w:t>或降雨初期20～30mm厚度的雨量，</w:t>
      </w:r>
      <w:r>
        <w:rPr>
          <w:rFonts w:ascii="仿宋_GB2312" w:hAnsi="仿宋_GB2312" w:eastAsia="仿宋_GB2312"/>
          <w:b w:val="0"/>
          <w:color w:val="auto"/>
          <w:sz w:val="24"/>
          <w:szCs w:val="28"/>
        </w:rPr>
        <w:t>具体根据降雨强度及下垫面污染状况确定[1]。</w:t>
      </w:r>
    </w:p>
    <w:p w14:paraId="3624D5AE">
      <w:pPr>
        <w:keepNext w:val="0"/>
        <w:keepLines w:val="0"/>
        <w:pageBreakBefore w:val="0"/>
        <w:widowControl/>
        <w:numPr>
          <w:ilvl w:val="1"/>
          <w:numId w:val="7"/>
        </w:numPr>
        <w:kinsoku/>
        <w:wordWrap/>
        <w:overflowPunct/>
        <w:topLinePunct w:val="0"/>
        <w:autoSpaceDE/>
        <w:autoSpaceDN/>
        <w:bidi w:val="0"/>
        <w:adjustRightInd/>
        <w:snapToGrid/>
        <w:spacing w:after="0" w:line="360" w:lineRule="auto"/>
        <w:ind w:left="567" w:leftChars="0" w:hanging="567" w:firstLineChars="0"/>
        <w:jc w:val="left"/>
        <w:textAlignment w:val="auto"/>
        <w:rPr>
          <w:rFonts w:hint="eastAsia" w:ascii="仿宋_GB2312" w:hAnsi="仿宋_GB2312" w:eastAsia="仿宋_GB2312"/>
          <w:b/>
          <w:bCs/>
          <w:color w:val="auto"/>
          <w:sz w:val="24"/>
          <w:szCs w:val="28"/>
          <w:lang w:val="en-US" w:eastAsia="zh-CN"/>
        </w:rPr>
      </w:pPr>
      <w:r>
        <w:rPr>
          <w:rFonts w:hint="eastAsia" w:ascii="仿宋_GB2312" w:hAnsi="仿宋_GB2312" w:eastAsia="仿宋_GB2312"/>
          <w:b/>
          <w:bCs/>
          <w:color w:val="auto"/>
          <w:sz w:val="24"/>
          <w:szCs w:val="28"/>
          <w:lang w:val="en-US" w:eastAsia="zh-CN"/>
        </w:rPr>
        <w:t>初期雨水收集池容积</w:t>
      </w:r>
    </w:p>
    <w:p w14:paraId="09A59594">
      <w:pPr>
        <w:keepNext w:val="0"/>
        <w:keepLines w:val="0"/>
        <w:pageBreakBefore w:val="0"/>
        <w:widowControl/>
        <w:kinsoku/>
        <w:wordWrap/>
        <w:overflowPunct/>
        <w:topLinePunct w:val="0"/>
        <w:autoSpaceDE/>
        <w:autoSpaceDN/>
        <w:bidi w:val="0"/>
        <w:adjustRightInd/>
        <w:snapToGrid/>
        <w:spacing w:after="0" w:line="360" w:lineRule="auto"/>
        <w:ind w:firstLine="480" w:firstLineChars="200"/>
        <w:jc w:val="left"/>
        <w:textAlignment w:val="auto"/>
        <w:rPr>
          <w:rFonts w:hint="eastAsia"/>
          <w:b w:val="0"/>
          <w:color w:val="auto"/>
          <w:sz w:val="24"/>
          <w:szCs w:val="28"/>
          <w:lang w:val="en-US" w:eastAsia="zh-CN"/>
        </w:rPr>
      </w:pPr>
      <w:r>
        <w:rPr>
          <w:rFonts w:ascii="仿宋_GB2312" w:hAnsi="仿宋_GB2312" w:eastAsia="仿宋_GB2312"/>
          <w:b w:val="0"/>
          <w:color w:val="auto"/>
          <w:sz w:val="24"/>
          <w:szCs w:val="28"/>
        </w:rPr>
        <w:t>指用于收集、储存初期雨水的池体有效容积</w:t>
      </w:r>
      <w:r>
        <w:rPr>
          <w:rFonts w:hint="eastAsia"/>
          <w:b w:val="0"/>
          <w:color w:val="auto"/>
          <w:sz w:val="24"/>
          <w:szCs w:val="28"/>
          <w:lang w:eastAsia="zh-CN"/>
        </w:rPr>
        <w:t>，需满足一次降雨初期雨水的收集</w:t>
      </w:r>
      <w:r>
        <w:rPr>
          <w:rFonts w:ascii="仿宋_GB2312" w:hAnsi="仿宋_GB2312" w:eastAsia="仿宋_GB2312"/>
          <w:b w:val="0"/>
          <w:color w:val="auto"/>
          <w:sz w:val="24"/>
          <w:szCs w:val="28"/>
        </w:rPr>
        <w:t>。池内容积可按照污染区域面积与一次降雨初期15—30分钟的降雨深度的乘积设计，其中降雨深度一般按</w:t>
      </w:r>
      <w:r>
        <w:rPr>
          <w:rFonts w:hint="eastAsia"/>
          <w:b w:val="0"/>
          <w:color w:val="auto"/>
          <w:sz w:val="24"/>
          <w:szCs w:val="28"/>
          <w:lang w:val="en-US" w:eastAsia="zh-CN"/>
        </w:rPr>
        <w:t>2</w:t>
      </w:r>
      <w:r>
        <w:rPr>
          <w:rFonts w:ascii="仿宋_GB2312" w:hAnsi="仿宋_GB2312" w:eastAsia="仿宋_GB2312"/>
          <w:b w:val="0"/>
          <w:color w:val="auto"/>
          <w:sz w:val="24"/>
          <w:szCs w:val="28"/>
        </w:rPr>
        <w:t>0—30</w:t>
      </w:r>
      <w:r>
        <w:rPr>
          <w:rFonts w:hint="eastAsia"/>
          <w:b w:val="0"/>
          <w:color w:val="auto"/>
          <w:sz w:val="24"/>
          <w:szCs w:val="28"/>
          <w:lang w:val="en-US" w:eastAsia="zh-CN"/>
        </w:rPr>
        <w:t>mm</w:t>
      </w:r>
      <w:r>
        <w:rPr>
          <w:rFonts w:ascii="仿宋_GB2312" w:hAnsi="仿宋_GB2312" w:eastAsia="仿宋_GB2312"/>
          <w:b w:val="0"/>
          <w:color w:val="auto"/>
          <w:sz w:val="24"/>
          <w:szCs w:val="28"/>
        </w:rPr>
        <w:t>设定。</w:t>
      </w:r>
      <w:r>
        <w:rPr>
          <w:rFonts w:hint="eastAsia"/>
          <w:b w:val="0"/>
          <w:color w:val="auto"/>
          <w:sz w:val="24"/>
          <w:szCs w:val="28"/>
          <w:lang w:val="en-US" w:eastAsia="zh-CN"/>
        </w:rPr>
        <w:t>各地自行纳入整治的行业，可根据污染状况，按照自行设定的标准执行。</w:t>
      </w:r>
    </w:p>
    <w:p w14:paraId="157C23FC">
      <w:pPr>
        <w:keepNext w:val="0"/>
        <w:keepLines w:val="0"/>
        <w:pageBreakBefore w:val="0"/>
        <w:widowControl/>
        <w:numPr>
          <w:ilvl w:val="1"/>
          <w:numId w:val="7"/>
        </w:numPr>
        <w:kinsoku/>
        <w:wordWrap/>
        <w:overflowPunct/>
        <w:topLinePunct w:val="0"/>
        <w:autoSpaceDE/>
        <w:autoSpaceDN/>
        <w:bidi w:val="0"/>
        <w:adjustRightInd/>
        <w:snapToGrid/>
        <w:spacing w:after="0" w:line="360" w:lineRule="auto"/>
        <w:ind w:left="567" w:leftChars="0" w:hanging="567" w:firstLineChars="0"/>
        <w:jc w:val="left"/>
        <w:textAlignment w:val="auto"/>
        <w:rPr>
          <w:rFonts w:hint="eastAsia" w:ascii="仿宋_GB2312" w:hAnsi="仿宋_GB2312" w:eastAsia="仿宋_GB2312"/>
          <w:b/>
          <w:bCs/>
          <w:color w:val="auto"/>
          <w:sz w:val="24"/>
          <w:szCs w:val="28"/>
          <w:lang w:val="en-US" w:eastAsia="zh-CN"/>
        </w:rPr>
      </w:pPr>
      <w:r>
        <w:rPr>
          <w:rFonts w:hint="eastAsia" w:ascii="仿宋_GB2312" w:hAnsi="仿宋_GB2312" w:eastAsia="仿宋_GB2312"/>
          <w:b/>
          <w:bCs/>
          <w:color w:val="auto"/>
          <w:sz w:val="24"/>
          <w:szCs w:val="28"/>
          <w:lang w:val="en-US" w:eastAsia="zh-CN"/>
        </w:rPr>
        <w:t>污染区域</w:t>
      </w:r>
    </w:p>
    <w:p w14:paraId="28362737">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ascii="仿宋_GB2312" w:hAnsi="仿宋_GB2312" w:eastAsia="仿宋_GB2312"/>
          <w:b w:val="0"/>
          <w:color w:val="auto"/>
          <w:sz w:val="24"/>
          <w:szCs w:val="28"/>
        </w:rPr>
      </w:pPr>
      <w:r>
        <w:rPr>
          <w:rFonts w:ascii="仿宋_GB2312" w:hAnsi="仿宋_GB2312" w:eastAsia="仿宋_GB2312"/>
          <w:b w:val="0"/>
          <w:color w:val="auto"/>
          <w:sz w:val="24"/>
          <w:szCs w:val="28"/>
        </w:rPr>
        <w:t>指企业日常生产，物料和产品装卸、存储及主要转运通道，污染治理等过程中易产生污染物遗撒或径流污染的区域。[1]</w:t>
      </w:r>
    </w:p>
    <w:p w14:paraId="3B3BC156">
      <w:pPr>
        <w:keepNext w:val="0"/>
        <w:keepLines w:val="0"/>
        <w:pageBreakBefore w:val="0"/>
        <w:widowControl/>
        <w:numPr>
          <w:ilvl w:val="1"/>
          <w:numId w:val="7"/>
        </w:numPr>
        <w:kinsoku/>
        <w:wordWrap/>
        <w:overflowPunct/>
        <w:topLinePunct w:val="0"/>
        <w:autoSpaceDE/>
        <w:autoSpaceDN/>
        <w:bidi w:val="0"/>
        <w:adjustRightInd/>
        <w:snapToGrid/>
        <w:spacing w:after="0" w:line="360" w:lineRule="auto"/>
        <w:ind w:left="567" w:leftChars="0" w:hanging="567" w:firstLineChars="0"/>
        <w:jc w:val="left"/>
        <w:textAlignment w:val="auto"/>
        <w:rPr>
          <w:rFonts w:hint="eastAsia" w:ascii="仿宋_GB2312" w:hAnsi="仿宋_GB2312" w:eastAsia="仿宋_GB2312"/>
          <w:b/>
          <w:bCs/>
          <w:color w:val="auto"/>
          <w:sz w:val="24"/>
          <w:szCs w:val="28"/>
          <w:lang w:val="en-US" w:eastAsia="zh-CN"/>
        </w:rPr>
      </w:pPr>
      <w:r>
        <w:rPr>
          <w:rFonts w:hint="eastAsia" w:ascii="仿宋_GB2312" w:hAnsi="仿宋_GB2312" w:eastAsia="仿宋_GB2312"/>
          <w:b/>
          <w:bCs/>
          <w:color w:val="auto"/>
          <w:sz w:val="24"/>
          <w:szCs w:val="28"/>
          <w:lang w:val="en-US" w:eastAsia="zh-CN"/>
        </w:rPr>
        <w:t>后期雨水</w:t>
      </w:r>
    </w:p>
    <w:p w14:paraId="2F1BA5D7">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left"/>
        <w:textAlignment w:val="auto"/>
        <w:rPr>
          <w:rFonts w:ascii="仿宋_GB2312" w:hAnsi="仿宋_GB2312" w:eastAsia="仿宋_GB2312"/>
          <w:b w:val="0"/>
          <w:color w:val="auto"/>
          <w:sz w:val="24"/>
          <w:szCs w:val="28"/>
        </w:rPr>
      </w:pPr>
      <w:r>
        <w:rPr>
          <w:rFonts w:ascii="仿宋_GB2312" w:hAnsi="仿宋_GB2312" w:eastAsia="仿宋_GB2312"/>
          <w:b w:val="0"/>
          <w:color w:val="auto"/>
          <w:sz w:val="24"/>
          <w:szCs w:val="28"/>
        </w:rPr>
        <w:t>指初期雨水收集到位后，降雨持续产生的雨水径流。后期雨水可直接排放或纳管市政雨水管网，排放口水质应保持稳定、清洁。[1]</w:t>
      </w:r>
    </w:p>
    <w:p w14:paraId="4F039751">
      <w:pPr>
        <w:keepNext w:val="0"/>
        <w:keepLines w:val="0"/>
        <w:pageBreakBefore w:val="0"/>
        <w:widowControl/>
        <w:numPr>
          <w:ilvl w:val="0"/>
          <w:numId w:val="7"/>
        </w:numPr>
        <w:kinsoku/>
        <w:wordWrap/>
        <w:overflowPunct/>
        <w:topLinePunct w:val="0"/>
        <w:autoSpaceDE/>
        <w:autoSpaceDN/>
        <w:bidi w:val="0"/>
        <w:adjustRightInd/>
        <w:snapToGrid/>
        <w:spacing w:before="181" w:beforeLines="50" w:after="181" w:afterLines="50" w:line="360" w:lineRule="auto"/>
        <w:ind w:left="425" w:leftChars="0" w:hanging="425" w:firstLineChars="0"/>
        <w:textAlignment w:val="auto"/>
        <w:rPr>
          <w:rFonts w:hint="eastAsia" w:ascii="黑体" w:hAnsi="黑体" w:eastAsia="黑体"/>
          <w:b/>
          <w:color w:val="auto"/>
          <w:sz w:val="28"/>
          <w:szCs w:val="28"/>
          <w:lang w:val="en-US" w:eastAsia="zh-CN"/>
        </w:rPr>
      </w:pPr>
      <w:r>
        <w:rPr>
          <w:rFonts w:hint="eastAsia" w:ascii="黑体" w:hAnsi="黑体" w:eastAsia="黑体"/>
          <w:b/>
          <w:color w:val="auto"/>
          <w:sz w:val="28"/>
          <w:szCs w:val="28"/>
          <w:lang w:val="en-US" w:eastAsia="zh-CN"/>
        </w:rPr>
        <w:t>基本要求</w:t>
      </w:r>
    </w:p>
    <w:p w14:paraId="0F042F49">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eastAsia="zh-CN"/>
        </w:rPr>
      </w:pPr>
      <w:r>
        <w:rPr>
          <w:rFonts w:hint="eastAsia"/>
          <w:b w:val="0"/>
          <w:color w:val="auto"/>
          <w:sz w:val="24"/>
          <w:szCs w:val="28"/>
          <w:lang w:eastAsia="zh-CN"/>
        </w:rPr>
        <w:t>重点行业企业应按照“应收尽收、分类收集、分质处理、达标排放”的原则，加强初期雨水管理，建立完善的初期雨水收集、输送、储存、处理和排放体系，确保初期雨水得到有效收集和妥善处理，防止雨水径流污染水环境。</w:t>
      </w:r>
    </w:p>
    <w:p w14:paraId="22AF42E9">
      <w:pPr>
        <w:keepNext w:val="0"/>
        <w:keepLines w:val="0"/>
        <w:pageBreakBefore w:val="0"/>
        <w:widowControl/>
        <w:numPr>
          <w:ilvl w:val="0"/>
          <w:numId w:val="7"/>
        </w:numPr>
        <w:kinsoku/>
        <w:wordWrap/>
        <w:overflowPunct/>
        <w:topLinePunct w:val="0"/>
        <w:autoSpaceDE/>
        <w:autoSpaceDN/>
        <w:bidi w:val="0"/>
        <w:adjustRightInd/>
        <w:snapToGrid/>
        <w:spacing w:before="181" w:beforeLines="50" w:after="181" w:afterLines="50" w:line="360" w:lineRule="auto"/>
        <w:ind w:left="425" w:leftChars="0" w:hanging="425" w:firstLineChars="0"/>
        <w:textAlignment w:val="auto"/>
        <w:rPr>
          <w:rFonts w:hint="eastAsia" w:ascii="黑体" w:hAnsi="黑体" w:eastAsia="黑体"/>
          <w:b/>
          <w:color w:val="auto"/>
          <w:sz w:val="28"/>
          <w:szCs w:val="28"/>
          <w:lang w:val="en-US" w:eastAsia="zh-CN"/>
        </w:rPr>
      </w:pPr>
      <w:r>
        <w:rPr>
          <w:rFonts w:hint="eastAsia" w:ascii="黑体" w:hAnsi="黑体" w:eastAsia="黑体"/>
          <w:b/>
          <w:color w:val="auto"/>
          <w:sz w:val="28"/>
          <w:szCs w:val="28"/>
          <w:lang w:val="en-US" w:eastAsia="zh-CN"/>
        </w:rPr>
        <w:t>基础设施</w:t>
      </w:r>
    </w:p>
    <w:p w14:paraId="74535BD1">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eastAsia="zh-CN"/>
        </w:rPr>
      </w:pPr>
      <w:r>
        <w:rPr>
          <w:rFonts w:hint="eastAsia"/>
          <w:b w:val="0"/>
          <w:color w:val="auto"/>
          <w:sz w:val="24"/>
          <w:szCs w:val="28"/>
          <w:lang w:eastAsia="zh-CN"/>
        </w:rPr>
        <w:t>重点行业企业应建设完善的初期雨水收集、输送、储存、排放以及标识等基础硬件设施。</w:t>
      </w:r>
    </w:p>
    <w:p w14:paraId="0D182A56">
      <w:pPr>
        <w:keepNext w:val="0"/>
        <w:keepLines w:val="0"/>
        <w:pageBreakBefore w:val="0"/>
        <w:widowControl/>
        <w:numPr>
          <w:ilvl w:val="1"/>
          <w:numId w:val="7"/>
        </w:numPr>
        <w:kinsoku/>
        <w:wordWrap/>
        <w:overflowPunct/>
        <w:topLinePunct w:val="0"/>
        <w:autoSpaceDE/>
        <w:autoSpaceDN/>
        <w:bidi w:val="0"/>
        <w:adjustRightInd/>
        <w:snapToGrid/>
        <w:spacing w:after="0" w:line="360" w:lineRule="auto"/>
        <w:ind w:left="567" w:leftChars="0" w:hanging="567" w:firstLineChars="0"/>
        <w:jc w:val="left"/>
        <w:textAlignment w:val="auto"/>
        <w:rPr>
          <w:rFonts w:hint="eastAsia" w:ascii="仿宋_GB2312" w:hAnsi="仿宋_GB2312" w:eastAsia="仿宋_GB2312"/>
          <w:b/>
          <w:bCs/>
          <w:color w:val="auto"/>
          <w:sz w:val="24"/>
          <w:szCs w:val="28"/>
          <w:lang w:val="en-US" w:eastAsia="zh-CN"/>
        </w:rPr>
      </w:pPr>
      <w:r>
        <w:rPr>
          <w:rFonts w:hint="eastAsia" w:ascii="仿宋_GB2312" w:hAnsi="仿宋_GB2312" w:eastAsia="仿宋_GB2312"/>
          <w:b/>
          <w:bCs/>
          <w:color w:val="auto"/>
          <w:sz w:val="24"/>
          <w:szCs w:val="28"/>
          <w:lang w:val="en-US" w:eastAsia="zh-CN"/>
        </w:rPr>
        <w:t>管网标识</w:t>
      </w:r>
    </w:p>
    <w:p w14:paraId="46625F5A">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default"/>
          <w:b w:val="0"/>
          <w:color w:val="auto"/>
          <w:sz w:val="24"/>
          <w:szCs w:val="28"/>
          <w:lang w:val="en-US" w:eastAsia="zh-CN"/>
        </w:rPr>
      </w:pPr>
      <w:r>
        <w:rPr>
          <w:rFonts w:hint="eastAsia"/>
          <w:b w:val="0"/>
          <w:color w:val="auto"/>
          <w:sz w:val="24"/>
          <w:szCs w:val="28"/>
          <w:lang w:eastAsia="zh-CN"/>
        </w:rPr>
        <w:t>重点行业企业应</w:t>
      </w:r>
      <w:r>
        <w:rPr>
          <w:rFonts w:ascii="仿宋_GB2312" w:hAnsi="仿宋_GB2312" w:eastAsia="仿宋_GB2312"/>
          <w:b w:val="0"/>
          <w:color w:val="auto"/>
          <w:sz w:val="24"/>
          <w:szCs w:val="28"/>
        </w:rPr>
        <w:t>结合环境风险评估</w:t>
      </w:r>
      <w:r>
        <w:rPr>
          <w:rFonts w:hint="eastAsia"/>
          <w:b w:val="0"/>
          <w:color w:val="auto"/>
          <w:sz w:val="24"/>
          <w:szCs w:val="28"/>
          <w:lang w:eastAsia="zh-CN"/>
        </w:rPr>
        <w:t>情况</w:t>
      </w:r>
      <w:r>
        <w:rPr>
          <w:rFonts w:ascii="仿宋_GB2312" w:hAnsi="仿宋_GB2312" w:eastAsia="仿宋_GB2312"/>
          <w:b w:val="0"/>
          <w:color w:val="auto"/>
          <w:sz w:val="24"/>
          <w:szCs w:val="28"/>
        </w:rPr>
        <w:t>，制定雨水管理制度，规范雨水排放行为，绘制管网分布图，标明雨水管网、附属设施（收集池、检查井、提升泵等），以及排放口位置和水流流向，并标明厂区污染区域。雨水排水管网图应纳入企业环境信息公开管理内容[1]。</w:t>
      </w:r>
      <w:r>
        <w:rPr>
          <w:rFonts w:hint="eastAsia" w:ascii="仿宋_GB2312" w:hAnsi="仿宋_GB2312" w:eastAsia="仿宋_GB2312"/>
          <w:b w:val="0"/>
          <w:color w:val="auto"/>
          <w:sz w:val="24"/>
          <w:szCs w:val="28"/>
        </w:rPr>
        <w:t>雨水</w:t>
      </w:r>
      <w:r>
        <w:rPr>
          <w:rFonts w:hint="eastAsia"/>
          <w:b w:val="0"/>
          <w:color w:val="auto"/>
          <w:sz w:val="24"/>
          <w:szCs w:val="28"/>
          <w:lang w:eastAsia="zh-CN"/>
        </w:rPr>
        <w:t>、</w:t>
      </w:r>
      <w:r>
        <w:rPr>
          <w:rFonts w:hint="eastAsia" w:ascii="仿宋_GB2312" w:hAnsi="仿宋_GB2312" w:eastAsia="仿宋_GB2312"/>
          <w:b w:val="0"/>
          <w:color w:val="auto"/>
          <w:sz w:val="24"/>
          <w:szCs w:val="28"/>
        </w:rPr>
        <w:t>污水排放口</w:t>
      </w:r>
      <w:r>
        <w:rPr>
          <w:rFonts w:hint="eastAsia"/>
          <w:b w:val="0"/>
          <w:color w:val="auto"/>
          <w:sz w:val="24"/>
          <w:szCs w:val="28"/>
          <w:lang w:eastAsia="zh-CN"/>
        </w:rPr>
        <w:t>应</w:t>
      </w:r>
      <w:r>
        <w:rPr>
          <w:rFonts w:hint="eastAsia" w:ascii="仿宋_GB2312" w:hAnsi="仿宋_GB2312" w:eastAsia="仿宋_GB2312"/>
          <w:b w:val="0"/>
          <w:color w:val="auto"/>
          <w:sz w:val="24"/>
          <w:szCs w:val="28"/>
        </w:rPr>
        <w:t>设置标识牌</w:t>
      </w:r>
      <w:r>
        <w:rPr>
          <w:rFonts w:ascii="仿宋_GB2312" w:hAnsi="仿宋_GB2312" w:eastAsia="仿宋_GB2312"/>
          <w:b w:val="0"/>
          <w:color w:val="auto"/>
          <w:sz w:val="24"/>
          <w:szCs w:val="28"/>
        </w:rPr>
        <w:t>[2]</w:t>
      </w:r>
      <w:r>
        <w:rPr>
          <w:rFonts w:hint="eastAsia" w:ascii="仿宋_GB2312" w:hAnsi="仿宋_GB2312" w:eastAsia="仿宋_GB2312"/>
          <w:b w:val="0"/>
          <w:color w:val="auto"/>
          <w:sz w:val="24"/>
          <w:szCs w:val="28"/>
        </w:rPr>
        <w:t>。</w:t>
      </w:r>
    </w:p>
    <w:p w14:paraId="403A53D9">
      <w:pPr>
        <w:keepNext w:val="0"/>
        <w:keepLines w:val="0"/>
        <w:pageBreakBefore w:val="0"/>
        <w:widowControl/>
        <w:numPr>
          <w:ilvl w:val="1"/>
          <w:numId w:val="7"/>
        </w:numPr>
        <w:kinsoku/>
        <w:wordWrap/>
        <w:overflowPunct/>
        <w:topLinePunct w:val="0"/>
        <w:autoSpaceDE/>
        <w:autoSpaceDN/>
        <w:bidi w:val="0"/>
        <w:adjustRightInd/>
        <w:snapToGrid/>
        <w:spacing w:after="0" w:line="360" w:lineRule="auto"/>
        <w:ind w:left="567" w:leftChars="0" w:hanging="567" w:firstLineChars="0"/>
        <w:jc w:val="left"/>
        <w:textAlignment w:val="auto"/>
        <w:rPr>
          <w:rFonts w:hint="eastAsia" w:ascii="仿宋_GB2312" w:hAnsi="仿宋_GB2312" w:eastAsia="仿宋_GB2312"/>
          <w:b/>
          <w:bCs/>
          <w:color w:val="auto"/>
          <w:sz w:val="24"/>
          <w:szCs w:val="28"/>
          <w:lang w:val="en-US" w:eastAsia="zh-CN"/>
        </w:rPr>
      </w:pPr>
      <w:r>
        <w:rPr>
          <w:rFonts w:hint="eastAsia" w:ascii="仿宋_GB2312" w:hAnsi="仿宋_GB2312" w:eastAsia="仿宋_GB2312"/>
          <w:b/>
          <w:bCs/>
          <w:color w:val="auto"/>
          <w:sz w:val="24"/>
          <w:szCs w:val="28"/>
          <w:lang w:val="en-US" w:eastAsia="zh-CN"/>
        </w:rPr>
        <w:t>收集设施</w:t>
      </w:r>
    </w:p>
    <w:p w14:paraId="6F1E9583">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ascii="仿宋_GB2312" w:hAnsi="仿宋_GB2312" w:eastAsia="仿宋_GB2312"/>
          <w:b w:val="0"/>
          <w:color w:val="auto"/>
          <w:sz w:val="24"/>
          <w:szCs w:val="28"/>
        </w:rPr>
      </w:pPr>
      <w:r>
        <w:rPr>
          <w:rFonts w:hint="eastAsia"/>
          <w:b w:val="0"/>
          <w:color w:val="auto"/>
          <w:sz w:val="24"/>
          <w:szCs w:val="28"/>
          <w:lang w:eastAsia="zh-CN"/>
        </w:rPr>
        <w:t>重点行业企业</w:t>
      </w:r>
      <w:r>
        <w:rPr>
          <w:rFonts w:ascii="仿宋_GB2312" w:hAnsi="仿宋_GB2312" w:eastAsia="仿宋_GB2312"/>
          <w:b w:val="0"/>
          <w:color w:val="auto"/>
          <w:sz w:val="24"/>
          <w:szCs w:val="28"/>
        </w:rPr>
        <w:t>根据厂区地形、平面布置、污染区域及环境管理要求等开展雨水分区收集，</w:t>
      </w:r>
      <w:r>
        <w:rPr>
          <w:rFonts w:hint="eastAsia"/>
          <w:b w:val="0"/>
          <w:color w:val="auto"/>
          <w:sz w:val="24"/>
          <w:szCs w:val="28"/>
          <w:lang w:eastAsia="zh-CN"/>
        </w:rPr>
        <w:t>企业</w:t>
      </w:r>
      <w:r>
        <w:rPr>
          <w:rFonts w:hint="eastAsia" w:ascii="仿宋_GB2312" w:hAnsi="仿宋_GB2312" w:eastAsia="仿宋_GB2312"/>
          <w:b w:val="0"/>
          <w:color w:val="auto"/>
          <w:sz w:val="24"/>
          <w:szCs w:val="28"/>
        </w:rPr>
        <w:t>应当采取有效措施，从源头</w:t>
      </w:r>
      <w:r>
        <w:rPr>
          <w:rFonts w:hint="eastAsia"/>
          <w:b w:val="0"/>
          <w:color w:val="auto"/>
          <w:sz w:val="24"/>
          <w:szCs w:val="28"/>
          <w:lang w:eastAsia="zh-CN"/>
        </w:rPr>
        <w:t>减少</w:t>
      </w:r>
      <w:r>
        <w:rPr>
          <w:rFonts w:hint="eastAsia" w:ascii="仿宋_GB2312" w:hAnsi="仿宋_GB2312" w:eastAsia="仿宋_GB2312"/>
          <w:b w:val="0"/>
          <w:color w:val="auto"/>
          <w:sz w:val="24"/>
          <w:szCs w:val="28"/>
        </w:rPr>
        <w:t>物料遗散和跑冒滴漏情况</w:t>
      </w:r>
      <w:r>
        <w:rPr>
          <w:rFonts w:hint="eastAsia"/>
          <w:b w:val="0"/>
          <w:color w:val="auto"/>
          <w:sz w:val="24"/>
          <w:szCs w:val="28"/>
          <w:lang w:eastAsia="zh-CN"/>
        </w:rPr>
        <w:t>，降低污染负荷</w:t>
      </w:r>
      <w:bookmarkStart w:id="0" w:name="_GoBack"/>
      <w:bookmarkEnd w:id="0"/>
      <w:r>
        <w:rPr>
          <w:rFonts w:hint="eastAsia"/>
          <w:b w:val="0"/>
          <w:color w:val="auto"/>
          <w:sz w:val="24"/>
          <w:szCs w:val="28"/>
          <w:lang w:eastAsia="zh-CN"/>
        </w:rPr>
        <w:t>。</w:t>
      </w:r>
      <w:r>
        <w:rPr>
          <w:rFonts w:hint="eastAsia" w:ascii="仿宋_GB2312" w:hAnsi="仿宋_GB2312" w:eastAsia="仿宋_GB2312"/>
          <w:b w:val="0"/>
          <w:color w:val="auto"/>
          <w:sz w:val="24"/>
          <w:szCs w:val="28"/>
          <w:lang w:eastAsia="zh-CN"/>
        </w:rPr>
        <w:t>初期雨水收集系统包括导流沟、初期雨水截留装置、初期雨水收集池等。</w:t>
      </w:r>
      <w:r>
        <w:rPr>
          <w:rFonts w:ascii="仿宋_GB2312" w:hAnsi="仿宋_GB2312" w:eastAsia="仿宋_GB2312"/>
          <w:b w:val="0"/>
          <w:color w:val="auto"/>
          <w:sz w:val="24"/>
          <w:szCs w:val="28"/>
        </w:rPr>
        <w:t>[1]</w:t>
      </w:r>
    </w:p>
    <w:p w14:paraId="28A32DBA">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ascii="仿宋_GB2312" w:hAnsi="仿宋_GB2312" w:eastAsia="仿宋_GB2312"/>
          <w:b w:val="0"/>
          <w:color w:val="auto"/>
          <w:sz w:val="24"/>
          <w:szCs w:val="28"/>
        </w:rPr>
      </w:pPr>
      <w:r>
        <w:rPr>
          <w:rFonts w:ascii="仿宋_GB2312" w:hAnsi="仿宋_GB2312" w:eastAsia="仿宋_GB2312"/>
          <w:b w:val="0"/>
          <w:color w:val="auto"/>
          <w:sz w:val="24"/>
          <w:szCs w:val="28"/>
        </w:rPr>
        <w:t>污染区域的初期雨水</w:t>
      </w:r>
      <w:r>
        <w:rPr>
          <w:rFonts w:hint="eastAsia"/>
          <w:b w:val="0"/>
          <w:color w:val="auto"/>
          <w:sz w:val="24"/>
          <w:szCs w:val="28"/>
          <w:lang w:eastAsia="zh-CN"/>
        </w:rPr>
        <w:t>导流沟</w:t>
      </w:r>
      <w:r>
        <w:rPr>
          <w:rFonts w:ascii="仿宋_GB2312" w:hAnsi="仿宋_GB2312" w:eastAsia="仿宋_GB2312"/>
          <w:b w:val="0"/>
          <w:color w:val="auto"/>
          <w:sz w:val="24"/>
          <w:szCs w:val="28"/>
        </w:rPr>
        <w:t>及附属设施宜采用明沟或暗涵（盖板镂空）收集输送，并根据污染状况做好防渗、防腐措施，设计建设应符合《室外排水设计标准》等相关规范和标准要求。导流沟应定期清理，保持畅通。雨水收集管道及附属设施内原则上不得敷设存在环境风险的管线。[1][14]</w:t>
      </w:r>
    </w:p>
    <w:p w14:paraId="6F6F22B1">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ascii="仿宋_GB2312" w:hAnsi="仿宋_GB2312" w:eastAsia="仿宋_GB2312"/>
          <w:b w:val="0"/>
          <w:color w:val="auto"/>
          <w:sz w:val="24"/>
          <w:szCs w:val="28"/>
          <w:lang w:eastAsia="zh-CN"/>
        </w:rPr>
      </w:pPr>
      <w:r>
        <w:rPr>
          <w:rFonts w:ascii="仿宋_GB2312" w:hAnsi="仿宋_GB2312" w:eastAsia="仿宋_GB2312"/>
          <w:b w:val="0"/>
          <w:color w:val="auto"/>
          <w:sz w:val="24"/>
          <w:szCs w:val="28"/>
        </w:rPr>
        <w:t>雨水口应设置格栅，防止树叶、垃圾等堵塞。雨水口应具备沉砂功能，减少泥砂进入收集池。雨水口位置应便于清淤维护。[1]</w:t>
      </w:r>
    </w:p>
    <w:p w14:paraId="338894D0">
      <w:pPr>
        <w:keepNext w:val="0"/>
        <w:keepLines w:val="0"/>
        <w:pageBreakBefore w:val="0"/>
        <w:widowControl/>
        <w:numPr>
          <w:ilvl w:val="1"/>
          <w:numId w:val="7"/>
        </w:numPr>
        <w:kinsoku/>
        <w:wordWrap/>
        <w:overflowPunct/>
        <w:topLinePunct w:val="0"/>
        <w:autoSpaceDE/>
        <w:autoSpaceDN/>
        <w:bidi w:val="0"/>
        <w:adjustRightInd/>
        <w:snapToGrid/>
        <w:spacing w:after="0" w:line="360" w:lineRule="auto"/>
        <w:ind w:left="567" w:leftChars="0" w:hanging="567" w:firstLineChars="0"/>
        <w:jc w:val="left"/>
        <w:textAlignment w:val="auto"/>
        <w:rPr>
          <w:rFonts w:hint="eastAsia" w:ascii="仿宋_GB2312" w:hAnsi="仿宋_GB2312" w:eastAsia="仿宋_GB2312"/>
          <w:b/>
          <w:bCs/>
          <w:color w:val="auto"/>
          <w:sz w:val="24"/>
          <w:szCs w:val="28"/>
          <w:lang w:val="en-US" w:eastAsia="zh-CN"/>
        </w:rPr>
      </w:pPr>
      <w:r>
        <w:rPr>
          <w:rFonts w:hint="eastAsia" w:ascii="仿宋_GB2312" w:hAnsi="仿宋_GB2312" w:eastAsia="仿宋_GB2312"/>
          <w:b/>
          <w:bCs/>
          <w:color w:val="auto"/>
          <w:sz w:val="24"/>
          <w:szCs w:val="28"/>
          <w:lang w:val="en-US" w:eastAsia="zh-CN"/>
        </w:rPr>
        <w:t>输送设施</w:t>
      </w:r>
    </w:p>
    <w:p w14:paraId="2A4941C5">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ascii="仿宋_GB2312" w:hAnsi="仿宋_GB2312" w:eastAsia="仿宋_GB2312"/>
          <w:b w:val="0"/>
          <w:color w:val="auto"/>
          <w:sz w:val="24"/>
          <w:szCs w:val="28"/>
        </w:rPr>
      </w:pPr>
      <w:r>
        <w:rPr>
          <w:rFonts w:ascii="仿宋_GB2312" w:hAnsi="仿宋_GB2312" w:eastAsia="仿宋_GB2312"/>
          <w:b w:val="0"/>
          <w:color w:val="auto"/>
          <w:sz w:val="24"/>
          <w:szCs w:val="28"/>
        </w:rPr>
        <w:t>初期雨水输送管道应采用防渗、防腐蚀材料。管道接口应严密，不得渗漏</w:t>
      </w:r>
      <w:r>
        <w:rPr>
          <w:rFonts w:hint="eastAsia"/>
          <w:b w:val="0"/>
          <w:color w:val="auto"/>
          <w:sz w:val="24"/>
          <w:szCs w:val="28"/>
          <w:lang w:eastAsia="zh-CN"/>
        </w:rPr>
        <w:t>，沟底坡度满足自流收集需要</w:t>
      </w:r>
      <w:r>
        <w:rPr>
          <w:rFonts w:ascii="仿宋_GB2312" w:hAnsi="仿宋_GB2312" w:eastAsia="仿宋_GB2312"/>
          <w:b w:val="0"/>
          <w:color w:val="auto"/>
          <w:sz w:val="24"/>
          <w:szCs w:val="28"/>
        </w:rPr>
        <w:t>。</w:t>
      </w:r>
      <w:r>
        <w:rPr>
          <w:rFonts w:hint="eastAsia" w:ascii="仿宋_GB2312" w:hAnsi="仿宋_GB2312" w:eastAsia="仿宋_GB2312"/>
          <w:b w:val="0"/>
          <w:color w:val="auto"/>
          <w:sz w:val="24"/>
          <w:szCs w:val="28"/>
        </w:rPr>
        <w:t>初期雨水输送管道应当尽量远离河道、坑塘等自然水体</w:t>
      </w:r>
      <w:r>
        <w:rPr>
          <w:rFonts w:hint="eastAsia"/>
          <w:b w:val="0"/>
          <w:color w:val="auto"/>
          <w:sz w:val="24"/>
          <w:szCs w:val="28"/>
          <w:lang w:eastAsia="zh-CN"/>
        </w:rPr>
        <w:t>，</w:t>
      </w:r>
      <w:r>
        <w:rPr>
          <w:rFonts w:hint="eastAsia" w:ascii="仿宋_GB2312" w:hAnsi="仿宋_GB2312" w:eastAsia="仿宋_GB2312"/>
          <w:b w:val="0"/>
          <w:color w:val="auto"/>
          <w:sz w:val="24"/>
          <w:szCs w:val="28"/>
        </w:rPr>
        <w:t>确需沿河设置的，应当架空设置，不得采用沿河挂管</w:t>
      </w:r>
      <w:r>
        <w:rPr>
          <w:rFonts w:hint="eastAsia"/>
          <w:b w:val="0"/>
          <w:color w:val="auto"/>
          <w:sz w:val="24"/>
          <w:szCs w:val="28"/>
          <w:lang w:eastAsia="zh-CN"/>
        </w:rPr>
        <w:t>的方式</w:t>
      </w:r>
      <w:r>
        <w:rPr>
          <w:rFonts w:hint="eastAsia" w:ascii="仿宋_GB2312" w:hAnsi="仿宋_GB2312" w:eastAsia="仿宋_GB2312"/>
          <w:b w:val="0"/>
          <w:color w:val="auto"/>
          <w:sz w:val="24"/>
          <w:szCs w:val="28"/>
        </w:rPr>
        <w:t>。</w:t>
      </w:r>
    </w:p>
    <w:p w14:paraId="27FA3292">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ascii="仿宋_GB2312" w:hAnsi="仿宋_GB2312" w:eastAsia="仿宋_GB2312"/>
          <w:b w:val="0"/>
          <w:color w:val="auto"/>
          <w:sz w:val="24"/>
          <w:szCs w:val="28"/>
        </w:rPr>
      </w:pPr>
      <w:r>
        <w:rPr>
          <w:rFonts w:ascii="仿宋_GB2312" w:hAnsi="仿宋_GB2312" w:eastAsia="仿宋_GB2312"/>
          <w:b w:val="0"/>
          <w:color w:val="auto"/>
          <w:sz w:val="24"/>
          <w:szCs w:val="28"/>
        </w:rPr>
        <w:t>初期雨水收集池前设置分流井、收集池内设置流量计或液位计，可将收集池的液位标高与切换阀门开启连锁，通过设定的液位控制阀门开启或关闭，实现初期污染雨水与后期洁净雨水自然分流。切换</w:t>
      </w:r>
      <w:r>
        <w:rPr>
          <w:rFonts w:hint="eastAsia"/>
          <w:b w:val="0"/>
          <w:color w:val="auto"/>
          <w:sz w:val="24"/>
          <w:szCs w:val="28"/>
          <w:lang w:eastAsia="zh-CN"/>
        </w:rPr>
        <w:t>阀门等</w:t>
      </w:r>
      <w:r>
        <w:rPr>
          <w:rFonts w:ascii="仿宋_GB2312" w:hAnsi="仿宋_GB2312" w:eastAsia="仿宋_GB2312"/>
          <w:b w:val="0"/>
          <w:color w:val="auto"/>
          <w:sz w:val="24"/>
          <w:szCs w:val="28"/>
        </w:rPr>
        <w:t>装置应操作灵活、密封可靠，并设置明显标识，标明“初期雨水收集”和“后期雨水排放”位置。有条件的企业宜安装自动切换装置，实现雨量或时间控制的自动切换。[1]</w:t>
      </w:r>
    </w:p>
    <w:p w14:paraId="32813180">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ascii="仿宋_GB2312" w:hAnsi="仿宋_GB2312" w:eastAsia="仿宋_GB2312"/>
          <w:b w:val="0"/>
          <w:color w:val="auto"/>
          <w:sz w:val="24"/>
          <w:szCs w:val="28"/>
          <w:lang w:val="en-US" w:eastAsia="zh-CN"/>
        </w:rPr>
      </w:pPr>
      <w:r>
        <w:rPr>
          <w:rFonts w:ascii="仿宋_GB2312" w:hAnsi="仿宋_GB2312" w:eastAsia="仿宋_GB2312"/>
          <w:b w:val="0"/>
          <w:color w:val="auto"/>
          <w:sz w:val="24"/>
          <w:szCs w:val="28"/>
        </w:rPr>
        <w:t>企业</w:t>
      </w:r>
      <w:r>
        <w:rPr>
          <w:rFonts w:hint="eastAsia"/>
          <w:b w:val="0"/>
          <w:color w:val="auto"/>
          <w:sz w:val="24"/>
          <w:szCs w:val="28"/>
          <w:lang w:eastAsia="zh-CN"/>
        </w:rPr>
        <w:t>可以</w:t>
      </w:r>
      <w:r>
        <w:rPr>
          <w:rFonts w:ascii="仿宋_GB2312" w:hAnsi="仿宋_GB2312" w:eastAsia="仿宋_GB2312"/>
          <w:b w:val="0"/>
          <w:color w:val="auto"/>
          <w:sz w:val="24"/>
          <w:szCs w:val="28"/>
        </w:rPr>
        <w:t>在厂区适当位置安装雨量计，用于监测降雨量。有条件的企业宜安装自动雨量监测系统，实现降雨数据实时记录和传输。</w:t>
      </w:r>
    </w:p>
    <w:p w14:paraId="37FE42C8">
      <w:pPr>
        <w:keepNext w:val="0"/>
        <w:keepLines w:val="0"/>
        <w:pageBreakBefore w:val="0"/>
        <w:widowControl/>
        <w:numPr>
          <w:ilvl w:val="1"/>
          <w:numId w:val="7"/>
        </w:numPr>
        <w:kinsoku/>
        <w:wordWrap/>
        <w:overflowPunct/>
        <w:topLinePunct w:val="0"/>
        <w:autoSpaceDE/>
        <w:autoSpaceDN/>
        <w:bidi w:val="0"/>
        <w:adjustRightInd/>
        <w:snapToGrid/>
        <w:spacing w:after="0" w:line="360" w:lineRule="auto"/>
        <w:ind w:left="567" w:leftChars="0" w:hanging="567" w:firstLineChars="0"/>
        <w:jc w:val="left"/>
        <w:textAlignment w:val="auto"/>
        <w:rPr>
          <w:rFonts w:hint="eastAsia" w:ascii="仿宋_GB2312" w:hAnsi="仿宋_GB2312" w:eastAsia="仿宋_GB2312"/>
          <w:b/>
          <w:bCs/>
          <w:color w:val="auto"/>
          <w:sz w:val="24"/>
          <w:szCs w:val="28"/>
          <w:lang w:val="en-US" w:eastAsia="zh-CN"/>
        </w:rPr>
      </w:pPr>
      <w:r>
        <w:rPr>
          <w:rFonts w:hint="eastAsia" w:ascii="仿宋_GB2312" w:hAnsi="仿宋_GB2312" w:eastAsia="仿宋_GB2312"/>
          <w:b/>
          <w:bCs/>
          <w:color w:val="auto"/>
          <w:sz w:val="24"/>
          <w:szCs w:val="28"/>
          <w:lang w:val="en-US" w:eastAsia="zh-CN"/>
        </w:rPr>
        <w:t>储存设施</w:t>
      </w:r>
    </w:p>
    <w:p w14:paraId="61002CEB">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ascii="仿宋_GB2312" w:hAnsi="仿宋_GB2312" w:eastAsia="仿宋_GB2312"/>
          <w:b w:val="0"/>
          <w:color w:val="auto"/>
          <w:sz w:val="24"/>
          <w:szCs w:val="28"/>
        </w:rPr>
      </w:pPr>
      <w:r>
        <w:rPr>
          <w:rFonts w:ascii="仿宋_GB2312" w:hAnsi="仿宋_GB2312" w:eastAsia="仿宋_GB2312"/>
          <w:b w:val="0"/>
          <w:color w:val="auto"/>
          <w:sz w:val="24"/>
          <w:szCs w:val="28"/>
        </w:rPr>
        <w:t>初期雨水收集池容积，需满足一次降雨初期雨水的收集。对于污染较重的大型企业，可适当增加收集池容积。因现场局限无法设置初期雨水收集池的污染区域，应设置雨水截留装置，安装固定泵和流量计，直接将初期雨水全部收集至污水处理系统。</w:t>
      </w:r>
    </w:p>
    <w:p w14:paraId="62346A23">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ascii="仿宋_GB2312" w:hAnsi="仿宋_GB2312" w:eastAsia="仿宋_GB2312"/>
          <w:b w:val="0"/>
          <w:color w:val="auto"/>
          <w:sz w:val="24"/>
          <w:szCs w:val="28"/>
        </w:rPr>
      </w:pPr>
      <w:r>
        <w:rPr>
          <w:rFonts w:hint="eastAsia" w:ascii="仿宋_GB2312" w:hAnsi="仿宋_GB2312" w:eastAsia="仿宋_GB2312"/>
          <w:b w:val="0"/>
          <w:color w:val="auto"/>
          <w:sz w:val="24"/>
          <w:szCs w:val="28"/>
        </w:rPr>
        <w:t>雨水收集池同时兼顾事故应急池的作用时，池内容积应同时具备事故状况下的收集功能，满足事故应急预案中的相关要求。事故应急池内应增加液位计，实时监控池内液位，初期雨水收集进入应急池后能迅速通过提升泵转至污水处理系统，确保应急池保持常空状态；同时应设置手动阀作为备用，确保在突发暴雨同时发生事故等极端情况下，即使断电也能采取手动方式实现应急池阀门和雨排阀的有效切换。[1]</w:t>
      </w:r>
    </w:p>
    <w:p w14:paraId="2E27A6DD">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default"/>
          <w:b w:val="0"/>
          <w:color w:val="auto"/>
          <w:sz w:val="24"/>
          <w:szCs w:val="28"/>
          <w:lang w:val="en-US" w:eastAsia="zh-CN"/>
        </w:rPr>
      </w:pPr>
      <w:r>
        <w:rPr>
          <w:rFonts w:hint="eastAsia"/>
          <w:b w:val="0"/>
          <w:color w:val="auto"/>
          <w:sz w:val="24"/>
          <w:szCs w:val="28"/>
          <w:lang w:val="en-US" w:eastAsia="zh-CN"/>
        </w:rPr>
        <w:t>无降雨时，初期雨水收集池应尽量保持清空。[1]</w:t>
      </w:r>
    </w:p>
    <w:p w14:paraId="5E63A043">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收集池宜采用地下式或半地下式，内壁应做防渗、防腐蚀处理。收集池应设置通气管、人孔、爬梯等附属设施，设置采样点。</w:t>
      </w:r>
    </w:p>
    <w:p w14:paraId="2378282A">
      <w:pPr>
        <w:keepNext w:val="0"/>
        <w:keepLines w:val="0"/>
        <w:pageBreakBefore w:val="0"/>
        <w:widowControl/>
        <w:numPr>
          <w:ilvl w:val="1"/>
          <w:numId w:val="7"/>
        </w:numPr>
        <w:kinsoku/>
        <w:wordWrap/>
        <w:overflowPunct/>
        <w:topLinePunct w:val="0"/>
        <w:autoSpaceDE/>
        <w:autoSpaceDN/>
        <w:bidi w:val="0"/>
        <w:adjustRightInd/>
        <w:snapToGrid/>
        <w:spacing w:after="0" w:line="360" w:lineRule="auto"/>
        <w:ind w:left="567" w:leftChars="0" w:hanging="567" w:firstLineChars="0"/>
        <w:jc w:val="left"/>
        <w:textAlignment w:val="auto"/>
        <w:rPr>
          <w:rFonts w:hint="eastAsia" w:ascii="仿宋_GB2312" w:hAnsi="仿宋_GB2312" w:eastAsia="仿宋_GB2312"/>
          <w:b/>
          <w:bCs/>
          <w:color w:val="auto"/>
          <w:sz w:val="24"/>
          <w:szCs w:val="28"/>
          <w:lang w:val="en-US" w:eastAsia="zh-CN"/>
        </w:rPr>
      </w:pPr>
      <w:r>
        <w:rPr>
          <w:rFonts w:hint="eastAsia" w:ascii="仿宋_GB2312" w:hAnsi="仿宋_GB2312" w:eastAsia="仿宋_GB2312"/>
          <w:b/>
          <w:bCs/>
          <w:color w:val="auto"/>
          <w:sz w:val="24"/>
          <w:szCs w:val="28"/>
          <w:lang w:val="en-US" w:eastAsia="zh-CN"/>
        </w:rPr>
        <w:t>排放口</w:t>
      </w:r>
    </w:p>
    <w:p w14:paraId="0D1376BD">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工业企业原则上一个厂区只允许设置一个雨水排放口。确需设置两个及以上雨水排放口的，应书面告知生态环境部门。[1]</w:t>
      </w:r>
    </w:p>
    <w:p w14:paraId="36EF7ED7">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后期雨水可直接排放或纳管市政雨水管网。雨水排放口水质应保持稳定、清洁。严禁将后期雨水排入污水收集处理设施。借道污水排口排放的，不得在污水排放监控点之前汇入，避免影响污水处理设施效能或产生稀释排污的嫌疑。[1]</w:t>
      </w:r>
    </w:p>
    <w:p w14:paraId="3D208D69">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工业企业雨水排放口前须设置明渠或取样监测观察井，便于采样。[1]</w:t>
      </w:r>
    </w:p>
    <w:p w14:paraId="76F08EA9">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工业企业雨水排放口应按排污许可证、环评批复以及其他相关规定和管理要求安装视频监控设备、水质在线监控设备，并与生态环境部门联网。[1]</w:t>
      </w:r>
    </w:p>
    <w:p w14:paraId="51E692A1">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为有效防范事故性排放和雨水异常排放，雨水排放口前应安装紧急切断装置，可以与水质在线监控设备连锁。</w:t>
      </w:r>
    </w:p>
    <w:p w14:paraId="0916A00A">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无降雨时，工业企业雨水排放口原则上应保持干燥；降雨后应及时排出积水，降雨停止1至3日后一般不应再出现对外排水。[1]</w:t>
      </w:r>
    </w:p>
    <w:p w14:paraId="24BA7889">
      <w:pPr>
        <w:keepNext w:val="0"/>
        <w:keepLines w:val="0"/>
        <w:pageBreakBefore w:val="0"/>
        <w:widowControl/>
        <w:numPr>
          <w:ilvl w:val="0"/>
          <w:numId w:val="7"/>
        </w:numPr>
        <w:kinsoku/>
        <w:wordWrap/>
        <w:overflowPunct/>
        <w:topLinePunct w:val="0"/>
        <w:autoSpaceDE/>
        <w:autoSpaceDN/>
        <w:bidi w:val="0"/>
        <w:adjustRightInd/>
        <w:snapToGrid/>
        <w:spacing w:before="181" w:beforeLines="50" w:after="181" w:afterLines="50" w:line="360" w:lineRule="auto"/>
        <w:ind w:left="425" w:leftChars="0" w:hanging="425" w:firstLineChars="0"/>
        <w:textAlignment w:val="auto"/>
        <w:rPr>
          <w:rFonts w:hint="eastAsia" w:ascii="黑体" w:hAnsi="黑体" w:eastAsia="黑体"/>
          <w:b/>
          <w:color w:val="auto"/>
          <w:sz w:val="28"/>
          <w:szCs w:val="28"/>
          <w:lang w:val="en-US" w:eastAsia="zh-CN"/>
        </w:rPr>
      </w:pPr>
      <w:r>
        <w:rPr>
          <w:rFonts w:hint="eastAsia" w:ascii="黑体" w:hAnsi="黑体" w:eastAsia="黑体"/>
          <w:b/>
          <w:color w:val="auto"/>
          <w:sz w:val="28"/>
          <w:szCs w:val="28"/>
          <w:lang w:val="en-US" w:eastAsia="zh-CN"/>
        </w:rPr>
        <w:t>操作规程</w:t>
      </w:r>
    </w:p>
    <w:p w14:paraId="016A5DD8">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重点行业企业应制定初期雨水收集、储存、排放等日常操作规程，明确操作流程和控制要求，确保初期雨水得到有效收集和妥善处理。</w:t>
      </w:r>
    </w:p>
    <w:p w14:paraId="59168332">
      <w:pPr>
        <w:keepNext w:val="0"/>
        <w:keepLines w:val="0"/>
        <w:pageBreakBefore w:val="0"/>
        <w:widowControl/>
        <w:numPr>
          <w:ilvl w:val="1"/>
          <w:numId w:val="7"/>
        </w:numPr>
        <w:kinsoku/>
        <w:wordWrap/>
        <w:overflowPunct/>
        <w:topLinePunct w:val="0"/>
        <w:autoSpaceDE/>
        <w:autoSpaceDN/>
        <w:bidi w:val="0"/>
        <w:adjustRightInd/>
        <w:snapToGrid/>
        <w:spacing w:after="0" w:line="360" w:lineRule="auto"/>
        <w:ind w:left="567" w:leftChars="0" w:hanging="567" w:firstLineChars="0"/>
        <w:jc w:val="left"/>
        <w:textAlignment w:val="auto"/>
        <w:rPr>
          <w:rFonts w:hint="eastAsia" w:ascii="仿宋_GB2312" w:hAnsi="仿宋_GB2312" w:eastAsia="仿宋_GB2312"/>
          <w:b/>
          <w:bCs/>
          <w:color w:val="auto"/>
          <w:sz w:val="24"/>
          <w:szCs w:val="28"/>
          <w:lang w:val="en-US" w:eastAsia="zh-CN"/>
        </w:rPr>
      </w:pPr>
      <w:r>
        <w:rPr>
          <w:rFonts w:hint="eastAsia" w:ascii="仿宋_GB2312" w:hAnsi="仿宋_GB2312" w:eastAsia="仿宋_GB2312"/>
          <w:b/>
          <w:bCs/>
          <w:color w:val="auto"/>
          <w:sz w:val="24"/>
          <w:szCs w:val="28"/>
          <w:lang w:val="en-US" w:eastAsia="zh-CN"/>
        </w:rPr>
        <w:t>初期雨水收集</w:t>
      </w:r>
    </w:p>
    <w:p w14:paraId="53C8F8B7">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企业应关注气象预报，在降雨前做好收集系统检查准备。确认切换装置处于“初期雨水收集”位置。检查导流沟、雨水口、收集池等设施是否畅通、无积水。确认收集池内无存水或存水已处理完毕。</w:t>
      </w:r>
    </w:p>
    <w:p w14:paraId="48F70080">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降雨开始后，初期雨水通过导流沟、管道进入收集池。切换装置应处于“初期雨水收集”位置，确保初期雨水全部进入收集池。记录降雨开始时间、雨量等基本信息。</w:t>
      </w:r>
    </w:p>
    <w:p w14:paraId="3430EE52">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初期雨水收集量应根据污染区面积、设计降雨深度确定。收集量达到设计容积后，应切换至“后期雨水排放”位置。切换时机根据雨情、污染区面积、环境管理情况等因地制宜确定：一般情况下，按降雨历时15—30分钟或降雨量20—30 mm控制；污染较重的企业应适当延长收集时间或增加降雨深度；有在线水质监测的企业，可根据水质监测数据决定切换时机。切换操作应记录切换时间、累计降雨量等信息。[1]</w:t>
      </w:r>
    </w:p>
    <w:p w14:paraId="6D53BA86">
      <w:pPr>
        <w:keepNext w:val="0"/>
        <w:keepLines w:val="0"/>
        <w:pageBreakBefore w:val="0"/>
        <w:widowControl/>
        <w:numPr>
          <w:ilvl w:val="1"/>
          <w:numId w:val="7"/>
        </w:numPr>
        <w:kinsoku/>
        <w:wordWrap/>
        <w:overflowPunct/>
        <w:topLinePunct w:val="0"/>
        <w:autoSpaceDE/>
        <w:autoSpaceDN/>
        <w:bidi w:val="0"/>
        <w:adjustRightInd/>
        <w:snapToGrid/>
        <w:spacing w:after="0" w:line="360" w:lineRule="auto"/>
        <w:ind w:left="567" w:leftChars="0" w:hanging="567" w:firstLineChars="0"/>
        <w:jc w:val="left"/>
        <w:textAlignment w:val="auto"/>
        <w:rPr>
          <w:rFonts w:hint="eastAsia" w:ascii="仿宋_GB2312" w:hAnsi="仿宋_GB2312" w:eastAsia="仿宋_GB2312"/>
          <w:b/>
          <w:bCs/>
          <w:color w:val="auto"/>
          <w:sz w:val="24"/>
          <w:szCs w:val="28"/>
          <w:lang w:val="en-US" w:eastAsia="zh-CN"/>
        </w:rPr>
      </w:pPr>
      <w:r>
        <w:rPr>
          <w:rFonts w:hint="eastAsia" w:ascii="仿宋_GB2312" w:hAnsi="仿宋_GB2312" w:eastAsia="仿宋_GB2312"/>
          <w:b/>
          <w:bCs/>
          <w:color w:val="auto"/>
          <w:sz w:val="24"/>
          <w:szCs w:val="28"/>
          <w:lang w:val="en-US" w:eastAsia="zh-CN"/>
        </w:rPr>
        <w:t>初期雨水储存</w:t>
      </w:r>
    </w:p>
    <w:p w14:paraId="128CD013">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收集池中储存的初期雨水应在降雨结束后及时处理，不得长期储存。储存期间应监测液位变化，防止溢流。初期雨水应及时送至厂区污水处理站处理，原则上5日内须全部处理到位；未配套污水处理站的，应及时输送至集中污水处理设施处理，严禁直接外排。[1]</w:t>
      </w:r>
    </w:p>
    <w:p w14:paraId="70D37A19">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收集池应设置溢流管，溢流管应接入废水处理系统或事故应急池。收集池液位达到设计高水位时，应启动应急处理措施。严禁初期雨水溢流直接排入外环境。</w:t>
      </w:r>
    </w:p>
    <w:p w14:paraId="029D7E46">
      <w:pPr>
        <w:keepNext w:val="0"/>
        <w:keepLines w:val="0"/>
        <w:pageBreakBefore w:val="0"/>
        <w:widowControl/>
        <w:numPr>
          <w:ilvl w:val="1"/>
          <w:numId w:val="7"/>
        </w:numPr>
        <w:kinsoku/>
        <w:wordWrap/>
        <w:overflowPunct/>
        <w:topLinePunct w:val="0"/>
        <w:autoSpaceDE/>
        <w:autoSpaceDN/>
        <w:bidi w:val="0"/>
        <w:adjustRightInd/>
        <w:snapToGrid/>
        <w:spacing w:after="0" w:line="360" w:lineRule="auto"/>
        <w:ind w:left="567" w:leftChars="0" w:hanging="567" w:firstLineChars="0"/>
        <w:jc w:val="left"/>
        <w:textAlignment w:val="auto"/>
        <w:rPr>
          <w:rFonts w:hint="eastAsia" w:ascii="仿宋_GB2312" w:hAnsi="仿宋_GB2312" w:eastAsia="仿宋_GB2312"/>
          <w:b/>
          <w:bCs/>
          <w:color w:val="auto"/>
          <w:sz w:val="24"/>
          <w:szCs w:val="28"/>
          <w:lang w:val="en-US" w:eastAsia="zh-CN"/>
        </w:rPr>
      </w:pPr>
      <w:r>
        <w:rPr>
          <w:rFonts w:hint="eastAsia" w:ascii="仿宋_GB2312" w:hAnsi="仿宋_GB2312" w:eastAsia="仿宋_GB2312"/>
          <w:b/>
          <w:bCs/>
          <w:color w:val="auto"/>
          <w:sz w:val="24"/>
          <w:szCs w:val="28"/>
          <w:lang w:val="en-US" w:eastAsia="zh-CN"/>
        </w:rPr>
        <w:t>雨水处理与排放</w:t>
      </w:r>
    </w:p>
    <w:p w14:paraId="3686CDA3">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收集的初期雨水应根据水质特征，采取以下方式处理：（1）排入企业废水处理系统处理，达标后排放；（2）对于含有特殊污染物的初期雨水，应采取预处理措施后纳入废水处理系统。初期雨水纳入废水处理系统前，应评估对废水处理系统运行的影响。</w:t>
      </w:r>
    </w:p>
    <w:p w14:paraId="5C123627">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后期雨水排放时，通过人工或者远程控制方式将阀门切换至“后期雨水排放”，记录排放时间、排放量等信息。</w:t>
      </w:r>
    </w:p>
    <w:p w14:paraId="3259FA1B">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降雨结束后，应及时将切换装置恢复至“初期雨水收集”位置。清理雨水口、导流沟中的淤积物。记录本次降雨初期雨水收集情况。</w:t>
      </w:r>
    </w:p>
    <w:p w14:paraId="67F3F054">
      <w:pPr>
        <w:keepNext w:val="0"/>
        <w:keepLines w:val="0"/>
        <w:pageBreakBefore w:val="0"/>
        <w:widowControl/>
        <w:numPr>
          <w:ilvl w:val="1"/>
          <w:numId w:val="7"/>
        </w:numPr>
        <w:kinsoku/>
        <w:wordWrap/>
        <w:overflowPunct/>
        <w:topLinePunct w:val="0"/>
        <w:autoSpaceDE/>
        <w:autoSpaceDN/>
        <w:bidi w:val="0"/>
        <w:adjustRightInd/>
        <w:snapToGrid/>
        <w:spacing w:after="0" w:line="360" w:lineRule="auto"/>
        <w:ind w:left="567" w:leftChars="0" w:hanging="567" w:firstLineChars="0"/>
        <w:jc w:val="left"/>
        <w:textAlignment w:val="auto"/>
        <w:rPr>
          <w:rFonts w:hint="eastAsia" w:ascii="仿宋_GB2312" w:hAnsi="仿宋_GB2312" w:eastAsia="仿宋_GB2312"/>
          <w:b/>
          <w:bCs/>
          <w:color w:val="auto"/>
          <w:sz w:val="24"/>
          <w:szCs w:val="28"/>
          <w:lang w:val="en-US" w:eastAsia="zh-CN"/>
        </w:rPr>
      </w:pPr>
      <w:r>
        <w:rPr>
          <w:rFonts w:hint="eastAsia" w:ascii="仿宋_GB2312" w:hAnsi="仿宋_GB2312" w:eastAsia="仿宋_GB2312"/>
          <w:b/>
          <w:bCs/>
          <w:color w:val="auto"/>
          <w:sz w:val="24"/>
          <w:szCs w:val="28"/>
          <w:lang w:val="en-US" w:eastAsia="zh-CN"/>
        </w:rPr>
        <w:t>特殊情况处理</w:t>
      </w:r>
    </w:p>
    <w:p w14:paraId="1DE10D03">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台风、暴雨等极端天气来临前，应提前将收集池清空。检查所有设施完好性，做好应急准备。极端天气期间，应加强巡查，防止设施损坏导致溢流。</w:t>
      </w:r>
    </w:p>
    <w:p w14:paraId="6A13FCC5">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企业发生水污染事故时，应及时启动应急预案或采取相应的防范措施，避免污染物从雨水排放口排放。事故废水（含消防废水）应全部引入事故应急池，不得外排，按企业环境应急预案进行处置。[2]</w:t>
      </w:r>
    </w:p>
    <w:p w14:paraId="51049CD7">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发现雨水排放口水质异常，监控因子浓度出现明显升高，或超过受纳水体水功能区目标等管控要求时，应立即启动工业企业突发环境事件应急预案，立即停止排水并排查超标原因，达到相关要求后方可恢复排水。[1]</w:t>
      </w:r>
    </w:p>
    <w:p w14:paraId="772C5E12">
      <w:pPr>
        <w:keepNext w:val="0"/>
        <w:keepLines w:val="0"/>
        <w:pageBreakBefore w:val="0"/>
        <w:widowControl/>
        <w:numPr>
          <w:ilvl w:val="0"/>
          <w:numId w:val="7"/>
        </w:numPr>
        <w:kinsoku/>
        <w:wordWrap/>
        <w:overflowPunct/>
        <w:topLinePunct w:val="0"/>
        <w:autoSpaceDE/>
        <w:autoSpaceDN/>
        <w:bidi w:val="0"/>
        <w:adjustRightInd/>
        <w:snapToGrid/>
        <w:spacing w:before="181" w:beforeLines="50" w:after="181" w:afterLines="50" w:line="360" w:lineRule="auto"/>
        <w:ind w:left="425" w:leftChars="0" w:hanging="425" w:firstLineChars="0"/>
        <w:textAlignment w:val="auto"/>
        <w:rPr>
          <w:rFonts w:hint="eastAsia" w:ascii="黑体" w:hAnsi="黑体" w:eastAsia="黑体"/>
          <w:b/>
          <w:color w:val="auto"/>
          <w:sz w:val="28"/>
          <w:szCs w:val="28"/>
          <w:lang w:val="en-US" w:eastAsia="zh-CN"/>
        </w:rPr>
      </w:pPr>
      <w:r>
        <w:rPr>
          <w:rFonts w:hint="eastAsia" w:ascii="黑体" w:hAnsi="黑体" w:eastAsia="黑体"/>
          <w:b/>
          <w:color w:val="auto"/>
          <w:sz w:val="28"/>
          <w:szCs w:val="28"/>
          <w:lang w:val="en-US" w:eastAsia="zh-CN"/>
        </w:rPr>
        <w:t>日常运维</w:t>
      </w:r>
    </w:p>
    <w:p w14:paraId="6EBE4DA9">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重点行业企业应建立初期雨水收集处理设施的日常运维管理制度，确保设施正常运行。</w:t>
      </w:r>
    </w:p>
    <w:p w14:paraId="0FDAB4F3">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工业企业应定期开展雨水收集系统日常检查与维护，定期对液位计、流量计、在线仪等设备进行点检校准维护，定期开展管网探测和隐患排查，及时清理淤泥和杂物，确保设施无堵塞、无渗漏、无破损，确保不发生污水与雨水管网错接、混接、乱接等现象，严禁将生活垃圾、固体废弃物、高浓度废液等暂存、蓄积或倾倒在雨水沟渠。[1]</w:t>
      </w:r>
    </w:p>
    <w:p w14:paraId="32A17EEF">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工业企业应建立明确的雨水排放口管理制度和操作规程，并张贴上墙，开展日常操作演练，避免人为误操作等引发环境污染事故。[1]</w:t>
      </w:r>
    </w:p>
    <w:p w14:paraId="03BCCEF7">
      <w:pPr>
        <w:keepNext w:val="0"/>
        <w:keepLines w:val="0"/>
        <w:pageBreakBefore w:val="0"/>
        <w:widowControl/>
        <w:numPr>
          <w:ilvl w:val="0"/>
          <w:numId w:val="7"/>
        </w:numPr>
        <w:kinsoku/>
        <w:wordWrap/>
        <w:overflowPunct/>
        <w:topLinePunct w:val="0"/>
        <w:autoSpaceDE/>
        <w:autoSpaceDN/>
        <w:bidi w:val="0"/>
        <w:adjustRightInd/>
        <w:snapToGrid/>
        <w:spacing w:before="181" w:beforeLines="50" w:after="181" w:afterLines="50" w:line="360" w:lineRule="auto"/>
        <w:ind w:left="425" w:leftChars="0" w:hanging="425" w:firstLineChars="0"/>
        <w:textAlignment w:val="auto"/>
        <w:rPr>
          <w:rFonts w:hint="eastAsia" w:ascii="黑体" w:hAnsi="黑体" w:eastAsia="黑体"/>
          <w:b/>
          <w:color w:val="auto"/>
          <w:sz w:val="28"/>
          <w:szCs w:val="28"/>
          <w:lang w:val="en-US" w:eastAsia="zh-CN"/>
        </w:rPr>
      </w:pPr>
      <w:r>
        <w:rPr>
          <w:rFonts w:hint="eastAsia" w:ascii="黑体" w:hAnsi="黑体" w:eastAsia="黑体"/>
          <w:b/>
          <w:color w:val="auto"/>
          <w:sz w:val="28"/>
          <w:szCs w:val="28"/>
          <w:lang w:val="en-US" w:eastAsia="zh-CN"/>
        </w:rPr>
        <w:t>自行监测</w:t>
      </w:r>
    </w:p>
    <w:p w14:paraId="067939AB">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重点行业企业应按照排污许可证要求和相关技术规范，开展初期雨水自行监测，监测数据应真实、准确、完整。</w:t>
      </w:r>
    </w:p>
    <w:p w14:paraId="7C2F971C">
      <w:pPr>
        <w:keepNext w:val="0"/>
        <w:keepLines w:val="0"/>
        <w:pageBreakBefore w:val="0"/>
        <w:widowControl/>
        <w:numPr>
          <w:ilvl w:val="1"/>
          <w:numId w:val="7"/>
        </w:numPr>
        <w:kinsoku/>
        <w:wordWrap/>
        <w:overflowPunct/>
        <w:topLinePunct w:val="0"/>
        <w:autoSpaceDE/>
        <w:autoSpaceDN/>
        <w:bidi w:val="0"/>
        <w:adjustRightInd/>
        <w:snapToGrid/>
        <w:spacing w:after="0" w:line="360" w:lineRule="auto"/>
        <w:ind w:left="567" w:leftChars="0" w:hanging="567" w:firstLineChars="0"/>
        <w:jc w:val="left"/>
        <w:textAlignment w:val="auto"/>
        <w:rPr>
          <w:rFonts w:hint="eastAsia" w:ascii="仿宋_GB2312" w:hAnsi="仿宋_GB2312" w:eastAsia="仿宋_GB2312"/>
          <w:b/>
          <w:bCs/>
          <w:color w:val="auto"/>
          <w:sz w:val="24"/>
          <w:szCs w:val="28"/>
          <w:lang w:val="en-US" w:eastAsia="zh-CN"/>
        </w:rPr>
      </w:pPr>
      <w:r>
        <w:rPr>
          <w:rFonts w:hint="eastAsia" w:ascii="仿宋_GB2312" w:hAnsi="仿宋_GB2312" w:eastAsia="仿宋_GB2312"/>
          <w:b/>
          <w:bCs/>
          <w:color w:val="auto"/>
          <w:sz w:val="24"/>
          <w:szCs w:val="28"/>
          <w:lang w:val="en-US" w:eastAsia="zh-CN"/>
        </w:rPr>
        <w:t>监测点位</w:t>
      </w:r>
    </w:p>
    <w:p w14:paraId="172AA833">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初期雨水应在收集池内设置采样点，采集初期雨水水样。采样点应能采集到具有代表性的水样。</w:t>
      </w:r>
    </w:p>
    <w:p w14:paraId="7E9F0AFB">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除初期雨水外，雨水经收集后应经由雨水排放口排放。在雨水排放口设置采样点，采集后期雨水排放水样。采样点应位于排放口汇合后的渠道或管道上。监测点位宜设置在厂界内或厂界外10 m范围内，避免雨水和其他来源的排水混入、渗入，按排污许可证、环评批复以及其他相关规定和管理要求需要安装在线监控设备的，应当安装在线监控设备，并与生态环境部门联网。[5][6]  雨水排放口有流量时，应在雨后15 min内进行采样；雨水排放口没有流量时，可在厂内雨水收集池内采样。[10]</w:t>
      </w:r>
    </w:p>
    <w:p w14:paraId="66A898A3">
      <w:pPr>
        <w:keepNext w:val="0"/>
        <w:keepLines w:val="0"/>
        <w:pageBreakBefore w:val="0"/>
        <w:widowControl/>
        <w:numPr>
          <w:ilvl w:val="1"/>
          <w:numId w:val="7"/>
        </w:numPr>
        <w:kinsoku/>
        <w:wordWrap/>
        <w:overflowPunct/>
        <w:topLinePunct w:val="0"/>
        <w:autoSpaceDE/>
        <w:autoSpaceDN/>
        <w:bidi w:val="0"/>
        <w:adjustRightInd/>
        <w:snapToGrid/>
        <w:spacing w:after="0" w:line="360" w:lineRule="auto"/>
        <w:ind w:left="567" w:leftChars="0" w:hanging="567" w:firstLineChars="0"/>
        <w:jc w:val="left"/>
        <w:textAlignment w:val="auto"/>
        <w:rPr>
          <w:rFonts w:hint="eastAsia" w:ascii="仿宋_GB2312" w:hAnsi="仿宋_GB2312" w:eastAsia="仿宋_GB2312"/>
          <w:b/>
          <w:bCs/>
          <w:color w:val="auto"/>
          <w:sz w:val="24"/>
          <w:szCs w:val="28"/>
          <w:lang w:val="en-US" w:eastAsia="zh-CN"/>
        </w:rPr>
      </w:pPr>
      <w:r>
        <w:rPr>
          <w:rFonts w:hint="eastAsia" w:ascii="仿宋_GB2312" w:hAnsi="仿宋_GB2312" w:eastAsia="仿宋_GB2312"/>
          <w:b/>
          <w:bCs/>
          <w:color w:val="auto"/>
          <w:sz w:val="24"/>
          <w:szCs w:val="28"/>
          <w:lang w:val="en-US" w:eastAsia="zh-CN"/>
        </w:rPr>
        <w:t>监测频次</w:t>
      </w:r>
      <w:r>
        <w:rPr>
          <w:rFonts w:hint="eastAsia"/>
          <w:b/>
          <w:bCs/>
          <w:color w:val="auto"/>
          <w:sz w:val="24"/>
          <w:szCs w:val="28"/>
          <w:lang w:val="en-US" w:eastAsia="zh-CN"/>
        </w:rPr>
        <w:t>和监测因子</w:t>
      </w:r>
    </w:p>
    <w:p w14:paraId="02CD1043">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初期雨水、雨水排放口监测频次和监测因子按照排污许可证以及排污单位自行监测技术指南相关要求落实。</w:t>
      </w:r>
    </w:p>
    <w:p w14:paraId="71127A8D">
      <w:pPr>
        <w:keepNext w:val="0"/>
        <w:keepLines w:val="0"/>
        <w:pageBreakBefore w:val="0"/>
        <w:widowControl/>
        <w:numPr>
          <w:ilvl w:val="1"/>
          <w:numId w:val="7"/>
        </w:numPr>
        <w:kinsoku/>
        <w:wordWrap/>
        <w:overflowPunct/>
        <w:topLinePunct w:val="0"/>
        <w:autoSpaceDE/>
        <w:autoSpaceDN/>
        <w:bidi w:val="0"/>
        <w:adjustRightInd/>
        <w:snapToGrid/>
        <w:spacing w:after="0" w:line="360" w:lineRule="auto"/>
        <w:ind w:left="567" w:leftChars="0" w:hanging="567" w:firstLineChars="0"/>
        <w:jc w:val="left"/>
        <w:textAlignment w:val="auto"/>
        <w:rPr>
          <w:rFonts w:hint="eastAsia" w:ascii="仿宋_GB2312" w:hAnsi="仿宋_GB2312" w:eastAsia="仿宋_GB2312"/>
          <w:b/>
          <w:bCs/>
          <w:color w:val="auto"/>
          <w:sz w:val="24"/>
          <w:szCs w:val="28"/>
          <w:lang w:val="en-US" w:eastAsia="zh-CN"/>
        </w:rPr>
      </w:pPr>
      <w:r>
        <w:rPr>
          <w:rFonts w:hint="eastAsia" w:ascii="仿宋_GB2312" w:hAnsi="仿宋_GB2312" w:eastAsia="仿宋_GB2312"/>
          <w:b/>
          <w:bCs/>
          <w:color w:val="auto"/>
          <w:sz w:val="24"/>
          <w:szCs w:val="28"/>
          <w:lang w:val="en-US" w:eastAsia="zh-CN"/>
        </w:rPr>
        <w:t>监测方法与质量控制</w:t>
      </w:r>
    </w:p>
    <w:p w14:paraId="3A98F0B3">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监测方法应优先采用国家或行业环境保护标准规定的方法。企业可自行监测或委托有资质的第三方检测机构进行监测。委托检测机构监测的，排污单位应对检（监）测机构的资质进行确认。[4]</w:t>
      </w:r>
    </w:p>
    <w:p w14:paraId="4D007F15">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管理部门执法监测与排污单位自行监测数据不一致的，以管理部门执法监测结果为准。监测结果出现超标的，排污单位应加密监测，检查超标原因，并向生态环境主管部门报告。[4][5]</w:t>
      </w:r>
    </w:p>
    <w:p w14:paraId="2D596880">
      <w:pPr>
        <w:keepNext w:val="0"/>
        <w:keepLines w:val="0"/>
        <w:pageBreakBefore w:val="0"/>
        <w:widowControl/>
        <w:numPr>
          <w:ilvl w:val="0"/>
          <w:numId w:val="7"/>
        </w:numPr>
        <w:kinsoku/>
        <w:wordWrap/>
        <w:overflowPunct/>
        <w:topLinePunct w:val="0"/>
        <w:autoSpaceDE/>
        <w:autoSpaceDN/>
        <w:bidi w:val="0"/>
        <w:adjustRightInd/>
        <w:snapToGrid/>
        <w:spacing w:before="181" w:beforeLines="50" w:after="181" w:afterLines="50" w:line="360" w:lineRule="auto"/>
        <w:ind w:left="425" w:leftChars="0" w:hanging="425" w:firstLineChars="0"/>
        <w:textAlignment w:val="auto"/>
        <w:rPr>
          <w:rFonts w:hint="eastAsia" w:ascii="黑体" w:hAnsi="黑体" w:eastAsia="黑体"/>
          <w:b/>
          <w:color w:val="auto"/>
          <w:sz w:val="28"/>
          <w:szCs w:val="28"/>
          <w:lang w:val="en-US" w:eastAsia="zh-CN"/>
        </w:rPr>
      </w:pPr>
      <w:r>
        <w:rPr>
          <w:rFonts w:hint="eastAsia" w:ascii="黑体" w:hAnsi="黑体" w:eastAsia="黑体"/>
          <w:b/>
          <w:color w:val="auto"/>
          <w:sz w:val="28"/>
          <w:szCs w:val="28"/>
          <w:lang w:val="en-US" w:eastAsia="zh-CN"/>
        </w:rPr>
        <w:t>台账资料</w:t>
      </w:r>
    </w:p>
    <w:p w14:paraId="06D437FA">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重点行业企业应建立完善的初期雨水管理台账，如实记录初期雨水收集、处理、排放等相关信息。台账资料应真实、完整、可追溯。</w:t>
      </w:r>
    </w:p>
    <w:p w14:paraId="41D9A46F">
      <w:pPr>
        <w:keepNext w:val="0"/>
        <w:keepLines w:val="0"/>
        <w:pageBreakBefore w:val="0"/>
        <w:widowControl/>
        <w:numPr>
          <w:ilvl w:val="1"/>
          <w:numId w:val="7"/>
        </w:numPr>
        <w:kinsoku/>
        <w:wordWrap/>
        <w:overflowPunct/>
        <w:topLinePunct w:val="0"/>
        <w:autoSpaceDE/>
        <w:autoSpaceDN/>
        <w:bidi w:val="0"/>
        <w:adjustRightInd/>
        <w:snapToGrid/>
        <w:spacing w:after="0" w:line="360" w:lineRule="auto"/>
        <w:ind w:left="567" w:leftChars="0" w:hanging="567" w:firstLineChars="0"/>
        <w:jc w:val="left"/>
        <w:textAlignment w:val="auto"/>
        <w:rPr>
          <w:rFonts w:hint="eastAsia" w:ascii="仿宋_GB2312" w:hAnsi="仿宋_GB2312" w:eastAsia="仿宋_GB2312"/>
          <w:b/>
          <w:bCs/>
          <w:color w:val="auto"/>
          <w:sz w:val="24"/>
          <w:szCs w:val="28"/>
          <w:lang w:val="en-US" w:eastAsia="zh-CN"/>
        </w:rPr>
      </w:pPr>
      <w:r>
        <w:rPr>
          <w:rFonts w:hint="eastAsia" w:ascii="仿宋_GB2312" w:hAnsi="仿宋_GB2312" w:eastAsia="仿宋_GB2312"/>
          <w:b/>
          <w:bCs/>
          <w:color w:val="auto"/>
          <w:sz w:val="24"/>
          <w:szCs w:val="28"/>
          <w:lang w:val="en-US" w:eastAsia="zh-CN"/>
        </w:rPr>
        <w:t>台账分类</w:t>
      </w:r>
    </w:p>
    <w:p w14:paraId="74A03696">
      <w:pPr>
        <w:keepNext w:val="0"/>
        <w:keepLines w:val="0"/>
        <w:pageBreakBefore w:val="0"/>
        <w:widowControl/>
        <w:kinsoku/>
        <w:wordWrap/>
        <w:overflowPunct/>
        <w:topLinePunct w:val="0"/>
        <w:autoSpaceDE/>
        <w:autoSpaceDN/>
        <w:bidi w:val="0"/>
        <w:adjustRightInd/>
        <w:snapToGrid/>
        <w:spacing w:after="0" w:line="360" w:lineRule="auto"/>
        <w:ind w:left="0" w:firstLine="482" w:firstLineChars="200"/>
        <w:textAlignment w:val="auto"/>
        <w:rPr>
          <w:rFonts w:hint="eastAsia"/>
          <w:b w:val="0"/>
          <w:color w:val="auto"/>
          <w:sz w:val="24"/>
          <w:szCs w:val="28"/>
          <w:lang w:val="en-US" w:eastAsia="zh-CN"/>
        </w:rPr>
      </w:pPr>
      <w:r>
        <w:rPr>
          <w:rFonts w:hint="eastAsia"/>
          <w:b/>
          <w:bCs/>
          <w:color w:val="auto"/>
          <w:sz w:val="24"/>
          <w:szCs w:val="28"/>
          <w:lang w:val="en-US" w:eastAsia="zh-CN"/>
        </w:rPr>
        <w:t>降雨记录台账</w:t>
      </w:r>
      <w:r>
        <w:rPr>
          <w:rFonts w:hint="eastAsia"/>
          <w:b w:val="0"/>
          <w:color w:val="auto"/>
          <w:sz w:val="24"/>
          <w:szCs w:val="28"/>
          <w:lang w:val="en-US" w:eastAsia="zh-CN"/>
        </w:rPr>
        <w:t>：降雨日期、开始时间、结束时间；累计降雨量（mm）；降雨等级；气象来源（如天气预报、雨量计读数等）。</w:t>
      </w:r>
    </w:p>
    <w:p w14:paraId="3CFD84AC">
      <w:pPr>
        <w:keepNext w:val="0"/>
        <w:keepLines w:val="0"/>
        <w:pageBreakBefore w:val="0"/>
        <w:widowControl/>
        <w:kinsoku/>
        <w:wordWrap/>
        <w:overflowPunct/>
        <w:topLinePunct w:val="0"/>
        <w:autoSpaceDE/>
        <w:autoSpaceDN/>
        <w:bidi w:val="0"/>
        <w:adjustRightInd/>
        <w:snapToGrid/>
        <w:spacing w:after="0" w:line="360" w:lineRule="auto"/>
        <w:ind w:left="0" w:firstLine="482" w:firstLineChars="200"/>
        <w:textAlignment w:val="auto"/>
        <w:rPr>
          <w:rFonts w:hint="eastAsia"/>
          <w:b w:val="0"/>
          <w:color w:val="auto"/>
          <w:sz w:val="24"/>
          <w:szCs w:val="28"/>
          <w:lang w:val="en-US" w:eastAsia="zh-CN"/>
        </w:rPr>
      </w:pPr>
      <w:r>
        <w:rPr>
          <w:rFonts w:hint="eastAsia"/>
          <w:b/>
          <w:bCs/>
          <w:color w:val="auto"/>
          <w:sz w:val="24"/>
          <w:szCs w:val="28"/>
          <w:lang w:val="en-US" w:eastAsia="zh-CN"/>
        </w:rPr>
        <w:t>收集操作台账：</w:t>
      </w:r>
      <w:r>
        <w:rPr>
          <w:rFonts w:hint="eastAsia"/>
          <w:b w:val="0"/>
          <w:color w:val="auto"/>
          <w:sz w:val="24"/>
          <w:szCs w:val="28"/>
          <w:lang w:val="en-US" w:eastAsia="zh-CN"/>
        </w:rPr>
        <w:t>初期雨水收集开始时间、结束时间；切换装置操作时间及操作人；收集初期雨水水量（m³）；收集池液位变化情况；后期雨水排放开始时间、结束时间、排放量。</w:t>
      </w:r>
    </w:p>
    <w:p w14:paraId="605C55E2">
      <w:pPr>
        <w:keepNext w:val="0"/>
        <w:keepLines w:val="0"/>
        <w:pageBreakBefore w:val="0"/>
        <w:widowControl/>
        <w:kinsoku/>
        <w:wordWrap/>
        <w:overflowPunct/>
        <w:topLinePunct w:val="0"/>
        <w:autoSpaceDE/>
        <w:autoSpaceDN/>
        <w:bidi w:val="0"/>
        <w:adjustRightInd/>
        <w:snapToGrid/>
        <w:spacing w:after="0" w:line="360" w:lineRule="auto"/>
        <w:ind w:left="0" w:firstLine="482" w:firstLineChars="200"/>
        <w:textAlignment w:val="auto"/>
        <w:rPr>
          <w:rFonts w:hint="eastAsia"/>
          <w:b w:val="0"/>
          <w:color w:val="auto"/>
          <w:sz w:val="24"/>
          <w:szCs w:val="28"/>
          <w:lang w:val="en-US" w:eastAsia="zh-CN"/>
        </w:rPr>
      </w:pPr>
      <w:r>
        <w:rPr>
          <w:rFonts w:hint="eastAsia"/>
          <w:b/>
          <w:bCs/>
          <w:color w:val="auto"/>
          <w:sz w:val="24"/>
          <w:szCs w:val="28"/>
          <w:lang w:val="en-US" w:eastAsia="zh-CN"/>
        </w:rPr>
        <w:t>处理排放台账：</w:t>
      </w:r>
      <w:r>
        <w:rPr>
          <w:rFonts w:hint="eastAsia"/>
          <w:b w:val="0"/>
          <w:color w:val="auto"/>
          <w:sz w:val="24"/>
          <w:szCs w:val="28"/>
          <w:lang w:val="en-US" w:eastAsia="zh-CN"/>
        </w:rPr>
        <w:t>初期雨水处理方式（纳入废水处理系统/纳管排放等）；处理水量（m³）；处理后的水质监测结果；排放时间、排放量、排放去向；纳管排放的，记录纳管水量及水质。</w:t>
      </w:r>
    </w:p>
    <w:p w14:paraId="0F3C880A">
      <w:pPr>
        <w:keepNext w:val="0"/>
        <w:keepLines w:val="0"/>
        <w:pageBreakBefore w:val="0"/>
        <w:widowControl/>
        <w:kinsoku/>
        <w:wordWrap/>
        <w:overflowPunct/>
        <w:topLinePunct w:val="0"/>
        <w:autoSpaceDE/>
        <w:autoSpaceDN/>
        <w:bidi w:val="0"/>
        <w:adjustRightInd/>
        <w:snapToGrid/>
        <w:spacing w:after="0" w:line="360" w:lineRule="auto"/>
        <w:ind w:left="0" w:firstLine="482" w:firstLineChars="200"/>
        <w:textAlignment w:val="auto"/>
        <w:rPr>
          <w:rFonts w:hint="eastAsia"/>
          <w:b w:val="0"/>
          <w:color w:val="auto"/>
          <w:sz w:val="24"/>
          <w:szCs w:val="28"/>
          <w:lang w:val="en-US" w:eastAsia="zh-CN"/>
        </w:rPr>
      </w:pPr>
      <w:r>
        <w:rPr>
          <w:rFonts w:hint="eastAsia"/>
          <w:b/>
          <w:bCs/>
          <w:color w:val="auto"/>
          <w:sz w:val="24"/>
          <w:szCs w:val="28"/>
          <w:lang w:val="en-US" w:eastAsia="zh-CN"/>
        </w:rPr>
        <w:t>水质监测台账</w:t>
      </w:r>
      <w:r>
        <w:rPr>
          <w:rFonts w:hint="eastAsia"/>
          <w:b w:val="0"/>
          <w:color w:val="auto"/>
          <w:sz w:val="24"/>
          <w:szCs w:val="28"/>
          <w:lang w:val="en-US" w:eastAsia="zh-CN"/>
        </w:rPr>
        <w:t>：采样日期、采样点位；监测因子及监测结果；监测方法及执行标准；监测报告编号及检测机构（如委托检测）；在线监测日均值、月均值统计。</w:t>
      </w:r>
    </w:p>
    <w:p w14:paraId="284F0762">
      <w:pPr>
        <w:keepNext w:val="0"/>
        <w:keepLines w:val="0"/>
        <w:pageBreakBefore w:val="0"/>
        <w:widowControl/>
        <w:kinsoku/>
        <w:wordWrap/>
        <w:overflowPunct/>
        <w:topLinePunct w:val="0"/>
        <w:autoSpaceDE/>
        <w:autoSpaceDN/>
        <w:bidi w:val="0"/>
        <w:adjustRightInd/>
        <w:snapToGrid/>
        <w:spacing w:after="0" w:line="360" w:lineRule="auto"/>
        <w:ind w:left="0" w:firstLine="482" w:firstLineChars="200"/>
        <w:textAlignment w:val="auto"/>
        <w:rPr>
          <w:rFonts w:hint="eastAsia"/>
          <w:b w:val="0"/>
          <w:color w:val="auto"/>
          <w:sz w:val="24"/>
          <w:szCs w:val="28"/>
          <w:lang w:val="en-US" w:eastAsia="zh-CN"/>
        </w:rPr>
      </w:pPr>
      <w:r>
        <w:rPr>
          <w:rFonts w:hint="eastAsia"/>
          <w:b/>
          <w:bCs/>
          <w:color w:val="auto"/>
          <w:sz w:val="24"/>
          <w:szCs w:val="28"/>
          <w:lang w:val="en-US" w:eastAsia="zh-CN"/>
        </w:rPr>
        <w:t>运维管理台账：</w:t>
      </w:r>
      <w:r>
        <w:rPr>
          <w:rFonts w:hint="eastAsia"/>
          <w:b w:val="0"/>
          <w:color w:val="auto"/>
          <w:sz w:val="24"/>
          <w:szCs w:val="28"/>
          <w:lang w:val="en-US" w:eastAsia="zh-CN"/>
        </w:rPr>
        <w:t>设施巡检记录（巡检日期、巡检内容、发现问题）；设施维护维修记录（维护日期、维护内容、维修情况）；设施校准记录（校准日期、校准内容、校准结果）；备品备件更换记录等。</w:t>
      </w:r>
    </w:p>
    <w:p w14:paraId="64BBE04A">
      <w:pPr>
        <w:keepNext w:val="0"/>
        <w:keepLines w:val="0"/>
        <w:pageBreakBefore w:val="0"/>
        <w:widowControl/>
        <w:kinsoku/>
        <w:wordWrap/>
        <w:overflowPunct/>
        <w:topLinePunct w:val="0"/>
        <w:autoSpaceDE/>
        <w:autoSpaceDN/>
        <w:bidi w:val="0"/>
        <w:adjustRightInd/>
        <w:snapToGrid/>
        <w:spacing w:after="0" w:line="360" w:lineRule="auto"/>
        <w:ind w:left="0" w:firstLine="482" w:firstLineChars="200"/>
        <w:textAlignment w:val="auto"/>
        <w:rPr>
          <w:rFonts w:hint="eastAsia"/>
          <w:b w:val="0"/>
          <w:color w:val="auto"/>
          <w:sz w:val="22"/>
          <w:szCs w:val="24"/>
          <w:lang w:val="en-US" w:eastAsia="zh-CN"/>
        </w:rPr>
      </w:pPr>
      <w:r>
        <w:rPr>
          <w:rFonts w:hint="eastAsia"/>
          <w:b/>
          <w:bCs/>
          <w:color w:val="auto"/>
          <w:sz w:val="24"/>
          <w:szCs w:val="28"/>
          <w:lang w:val="en-US" w:eastAsia="zh-CN"/>
        </w:rPr>
        <w:t>应急处置台账：</w:t>
      </w:r>
      <w:r>
        <w:rPr>
          <w:rFonts w:hint="eastAsia"/>
          <w:b w:val="0"/>
          <w:color w:val="auto"/>
          <w:sz w:val="24"/>
          <w:szCs w:val="28"/>
          <w:lang w:val="en-US" w:eastAsia="zh-CN"/>
        </w:rPr>
        <w:t>异常情况（设施故障、溢流、超标等）记录；应急处置措施及过程；处置结果及后续整改措施；报告情况（向生态环境主管部门报告时间及内容）。</w:t>
      </w:r>
    </w:p>
    <w:p w14:paraId="4255D774">
      <w:pPr>
        <w:keepNext w:val="0"/>
        <w:keepLines w:val="0"/>
        <w:pageBreakBefore w:val="0"/>
        <w:widowControl/>
        <w:numPr>
          <w:ilvl w:val="1"/>
          <w:numId w:val="7"/>
        </w:numPr>
        <w:kinsoku/>
        <w:wordWrap/>
        <w:overflowPunct/>
        <w:topLinePunct w:val="0"/>
        <w:autoSpaceDE/>
        <w:autoSpaceDN/>
        <w:bidi w:val="0"/>
        <w:adjustRightInd/>
        <w:snapToGrid/>
        <w:spacing w:after="0" w:line="360" w:lineRule="auto"/>
        <w:ind w:left="567" w:leftChars="0" w:hanging="567" w:firstLineChars="0"/>
        <w:jc w:val="left"/>
        <w:textAlignment w:val="auto"/>
        <w:rPr>
          <w:rFonts w:hint="eastAsia" w:ascii="仿宋_GB2312" w:hAnsi="仿宋_GB2312" w:eastAsia="仿宋_GB2312"/>
          <w:b/>
          <w:bCs/>
          <w:color w:val="auto"/>
          <w:sz w:val="24"/>
          <w:szCs w:val="28"/>
          <w:lang w:val="en-US" w:eastAsia="zh-CN"/>
        </w:rPr>
      </w:pPr>
      <w:r>
        <w:rPr>
          <w:rFonts w:hint="eastAsia" w:ascii="仿宋_GB2312" w:hAnsi="仿宋_GB2312" w:eastAsia="仿宋_GB2312"/>
          <w:b/>
          <w:bCs/>
          <w:color w:val="auto"/>
          <w:sz w:val="24"/>
          <w:szCs w:val="28"/>
          <w:lang w:val="en-US" w:eastAsia="zh-CN"/>
        </w:rPr>
        <w:t>台账管理要求</w:t>
      </w:r>
    </w:p>
    <w:p w14:paraId="4C93CD5B">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企业应建立初期雨水管理台账制度，明确台账记录的责任部门和责任人。台账应及时记录，不得事后补记或篡改。纸质台账应字迹清楚、签字齐全。台账保存期限不少于5年。台账可采用电子台账或纸质台账，鼓励采用电子台账管理系统。</w:t>
      </w:r>
    </w:p>
    <w:p w14:paraId="6EAD00FB">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企业应接受生态环境主管部门的监督检查，如实提供台账资料，不得拒绝、阻挠。</w:t>
      </w:r>
    </w:p>
    <w:p w14:paraId="6A3079A9">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b w:val="0"/>
          <w:color w:val="auto"/>
          <w:sz w:val="24"/>
          <w:szCs w:val="28"/>
          <w:lang w:val="en-US" w:eastAsia="zh-CN"/>
        </w:rPr>
      </w:pPr>
      <w:r>
        <w:rPr>
          <w:rFonts w:hint="eastAsia"/>
          <w:b w:val="0"/>
          <w:color w:val="auto"/>
          <w:sz w:val="24"/>
          <w:szCs w:val="28"/>
          <w:lang w:val="en-US" w:eastAsia="zh-CN"/>
        </w:rPr>
        <w:t>鼓励企业建立初期雨水管理信息化系统，实现台账电子化、数据自动化采集和分析。</w:t>
      </w:r>
    </w:p>
    <w:p w14:paraId="54CDEA52">
      <w:pPr>
        <w:keepNext w:val="0"/>
        <w:keepLines w:val="0"/>
        <w:pageBreakBefore w:val="0"/>
        <w:widowControl/>
        <w:numPr>
          <w:ilvl w:val="-1"/>
          <w:numId w:val="0"/>
        </w:numPr>
        <w:kinsoku/>
        <w:wordWrap/>
        <w:overflowPunct/>
        <w:topLinePunct w:val="0"/>
        <w:autoSpaceDE/>
        <w:autoSpaceDN/>
        <w:bidi w:val="0"/>
        <w:adjustRightInd/>
        <w:snapToGrid/>
        <w:spacing w:before="181" w:beforeLines="50" w:after="181" w:afterLines="50" w:line="360" w:lineRule="auto"/>
        <w:ind w:left="0" w:leftChars="0" w:firstLine="0" w:firstLineChars="0"/>
        <w:textAlignment w:val="auto"/>
        <w:rPr>
          <w:rFonts w:hint="eastAsia" w:ascii="黑体" w:hAnsi="黑体" w:eastAsia="黑体"/>
          <w:b/>
          <w:strike/>
          <w:color w:val="auto"/>
          <w:sz w:val="28"/>
          <w:szCs w:val="28"/>
          <w:lang w:val="en-US" w:eastAsia="zh-CN"/>
        </w:rPr>
      </w:pPr>
    </w:p>
    <w:p w14:paraId="7004C67D">
      <w:pPr>
        <w:keepNext w:val="0"/>
        <w:keepLines w:val="0"/>
        <w:pageBreakBefore w:val="0"/>
        <w:widowControl/>
        <w:numPr>
          <w:ilvl w:val="-1"/>
          <w:numId w:val="0"/>
        </w:numPr>
        <w:kinsoku/>
        <w:wordWrap/>
        <w:overflowPunct/>
        <w:topLinePunct w:val="0"/>
        <w:autoSpaceDE/>
        <w:autoSpaceDN/>
        <w:bidi w:val="0"/>
        <w:adjustRightInd/>
        <w:snapToGrid/>
        <w:spacing w:before="181" w:beforeLines="50" w:after="181" w:afterLines="50" w:line="360" w:lineRule="auto"/>
        <w:ind w:left="0" w:leftChars="0" w:firstLine="0" w:firstLineChars="0"/>
        <w:textAlignment w:val="auto"/>
        <w:rPr>
          <w:rFonts w:hint="eastAsia" w:ascii="黑体" w:hAnsi="黑体" w:eastAsia="黑体"/>
          <w:b/>
          <w:strike/>
          <w:color w:val="auto"/>
          <w:sz w:val="28"/>
          <w:szCs w:val="28"/>
          <w:lang w:val="en-US" w:eastAsia="zh-CN"/>
        </w:rPr>
      </w:pPr>
    </w:p>
    <w:p w14:paraId="298C2A33">
      <w:pPr>
        <w:keepNext w:val="0"/>
        <w:keepLines w:val="0"/>
        <w:pageBreakBefore w:val="0"/>
        <w:widowControl/>
        <w:numPr>
          <w:ilvl w:val="-1"/>
          <w:numId w:val="0"/>
        </w:numPr>
        <w:kinsoku/>
        <w:wordWrap/>
        <w:overflowPunct/>
        <w:topLinePunct w:val="0"/>
        <w:autoSpaceDE/>
        <w:autoSpaceDN/>
        <w:bidi w:val="0"/>
        <w:adjustRightInd/>
        <w:snapToGrid/>
        <w:spacing w:before="181" w:beforeLines="50" w:after="181" w:afterLines="50" w:line="360" w:lineRule="auto"/>
        <w:ind w:left="0" w:leftChars="0" w:firstLine="0" w:firstLineChars="0"/>
        <w:textAlignment w:val="auto"/>
        <w:rPr>
          <w:rFonts w:hint="eastAsia" w:ascii="黑体" w:hAnsi="黑体" w:eastAsia="黑体"/>
          <w:b/>
          <w:strike/>
          <w:color w:val="auto"/>
          <w:sz w:val="28"/>
          <w:szCs w:val="28"/>
          <w:lang w:val="en-US" w:eastAsia="zh-CN"/>
        </w:rPr>
      </w:pPr>
    </w:p>
    <w:p w14:paraId="5D4E7E3B">
      <w:pPr>
        <w:keepNext w:val="0"/>
        <w:keepLines w:val="0"/>
        <w:pageBreakBefore w:val="0"/>
        <w:widowControl/>
        <w:kinsoku/>
        <w:wordWrap/>
        <w:overflowPunct/>
        <w:topLinePunct w:val="0"/>
        <w:autoSpaceDE/>
        <w:autoSpaceDN/>
        <w:bidi w:val="0"/>
        <w:adjustRightInd/>
        <w:snapToGrid/>
        <w:spacing w:after="0" w:line="360" w:lineRule="auto"/>
        <w:ind w:left="0" w:firstLine="440" w:firstLineChars="200"/>
        <w:textAlignment w:val="auto"/>
        <w:rPr>
          <w:color w:val="auto"/>
          <w:sz w:val="22"/>
          <w:szCs w:val="24"/>
        </w:rPr>
      </w:pPr>
    </w:p>
    <w:p w14:paraId="799268EC">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仿宋_GB2312" w:hAnsi="仿宋_GB2312" w:eastAsia="仿宋_GB2312"/>
          <w:b w:val="0"/>
          <w:color w:val="auto"/>
          <w:sz w:val="22"/>
          <w:szCs w:val="24"/>
          <w:lang w:eastAsia="zh-CN"/>
        </w:rPr>
      </w:pPr>
      <w:r>
        <w:rPr>
          <w:rFonts w:ascii="黑体" w:hAnsi="黑体" w:eastAsia="黑体"/>
          <w:b/>
          <w:color w:val="auto"/>
          <w:sz w:val="32"/>
          <w:szCs w:val="24"/>
        </w:rPr>
        <w:t>附录</w:t>
      </w:r>
      <w:r>
        <w:rPr>
          <w:rFonts w:ascii="仿宋_GB2312" w:hAnsi="仿宋_GB2312" w:eastAsia="仿宋_GB2312"/>
          <w:b w:val="0"/>
          <w:color w:val="auto"/>
          <w:sz w:val="22"/>
          <w:szCs w:val="24"/>
        </w:rPr>
        <w:t xml:space="preserve"> </w:t>
      </w:r>
      <w:r>
        <w:rPr>
          <w:rFonts w:hint="eastAsia" w:ascii="仿宋_GB2312" w:hAnsi="仿宋_GB2312" w:eastAsia="仿宋_GB2312"/>
          <w:b w:val="0"/>
          <w:color w:val="auto"/>
          <w:sz w:val="22"/>
          <w:szCs w:val="24"/>
          <w:lang w:eastAsia="zh-CN"/>
        </w:rPr>
        <w:t>（</w:t>
      </w:r>
      <w:r>
        <w:rPr>
          <w:rFonts w:ascii="仿宋_GB2312" w:hAnsi="仿宋_GB2312" w:eastAsia="仿宋_GB2312"/>
          <w:b w:val="0"/>
          <w:color w:val="auto"/>
          <w:sz w:val="22"/>
          <w:szCs w:val="24"/>
        </w:rPr>
        <w:t>本</w:t>
      </w:r>
      <w:r>
        <w:rPr>
          <w:rFonts w:hint="eastAsia"/>
          <w:b w:val="0"/>
          <w:color w:val="auto"/>
          <w:sz w:val="22"/>
          <w:szCs w:val="24"/>
          <w:lang w:eastAsia="zh-CN"/>
        </w:rPr>
        <w:t>要求</w:t>
      </w:r>
      <w:r>
        <w:rPr>
          <w:rFonts w:ascii="仿宋_GB2312" w:hAnsi="仿宋_GB2312" w:eastAsia="仿宋_GB2312"/>
          <w:b w:val="0"/>
          <w:color w:val="auto"/>
          <w:sz w:val="22"/>
          <w:szCs w:val="24"/>
        </w:rPr>
        <w:t>编制过程中引用的主要资料</w:t>
      </w:r>
      <w:r>
        <w:rPr>
          <w:rFonts w:hint="eastAsia" w:ascii="仿宋_GB2312" w:hAnsi="仿宋_GB2312" w:eastAsia="仿宋_GB2312"/>
          <w:b w:val="0"/>
          <w:color w:val="auto"/>
          <w:sz w:val="22"/>
          <w:szCs w:val="24"/>
          <w:lang w:eastAsia="zh-CN"/>
        </w:rPr>
        <w:t>）</w:t>
      </w:r>
    </w:p>
    <w:p w14:paraId="05F8A3FA">
      <w:pPr>
        <w:keepNext w:val="0"/>
        <w:keepLines w:val="0"/>
        <w:pageBreakBefore w:val="0"/>
        <w:widowControl/>
        <w:kinsoku/>
        <w:wordWrap/>
        <w:overflowPunct/>
        <w:topLinePunct w:val="0"/>
        <w:autoSpaceDE/>
        <w:autoSpaceDN/>
        <w:bidi w:val="0"/>
        <w:adjustRightInd/>
        <w:snapToGrid/>
        <w:spacing w:after="0" w:line="360" w:lineRule="auto"/>
        <w:ind w:left="0" w:firstLine="440" w:firstLineChars="200"/>
        <w:textAlignment w:val="auto"/>
        <w:rPr>
          <w:color w:val="auto"/>
          <w:sz w:val="22"/>
          <w:szCs w:val="24"/>
        </w:rPr>
      </w:pPr>
      <w:r>
        <w:rPr>
          <w:rFonts w:ascii="仿宋_GB2312" w:hAnsi="仿宋_GB2312" w:eastAsia="仿宋_GB2312"/>
          <w:b w:val="0"/>
          <w:color w:val="auto"/>
          <w:sz w:val="22"/>
          <w:szCs w:val="24"/>
        </w:rPr>
        <w:t>[1] 江苏省深入打好污染防治攻坚战指挥部办公室. 江苏省重点行业工业企业雨水排放环境管理办法（试行）[Z]. 苏污防攻坚指办〔2023〕71号，2023-05-15.</w:t>
      </w:r>
    </w:p>
    <w:p w14:paraId="54BF933B">
      <w:pPr>
        <w:keepNext w:val="0"/>
        <w:keepLines w:val="0"/>
        <w:pageBreakBefore w:val="0"/>
        <w:widowControl/>
        <w:kinsoku/>
        <w:wordWrap/>
        <w:overflowPunct/>
        <w:topLinePunct w:val="0"/>
        <w:autoSpaceDE/>
        <w:autoSpaceDN/>
        <w:bidi w:val="0"/>
        <w:adjustRightInd/>
        <w:snapToGrid/>
        <w:spacing w:after="0" w:line="360" w:lineRule="auto"/>
        <w:ind w:left="0" w:firstLine="440" w:firstLineChars="200"/>
        <w:textAlignment w:val="auto"/>
        <w:rPr>
          <w:color w:val="auto"/>
          <w:sz w:val="22"/>
          <w:szCs w:val="24"/>
        </w:rPr>
      </w:pPr>
      <w:r>
        <w:rPr>
          <w:rFonts w:ascii="仿宋_GB2312" w:hAnsi="仿宋_GB2312" w:eastAsia="仿宋_GB2312"/>
          <w:b w:val="0"/>
          <w:color w:val="auto"/>
          <w:sz w:val="22"/>
          <w:szCs w:val="24"/>
        </w:rPr>
        <w:t>[2] 江苏省人民代表大会常务委员会. 江苏省水污染防治条例[Z]. 2020-11-27通过，2021、2026年修正.</w:t>
      </w:r>
    </w:p>
    <w:p w14:paraId="257D293E">
      <w:pPr>
        <w:keepNext w:val="0"/>
        <w:keepLines w:val="0"/>
        <w:pageBreakBefore w:val="0"/>
        <w:widowControl/>
        <w:kinsoku/>
        <w:wordWrap/>
        <w:overflowPunct/>
        <w:topLinePunct w:val="0"/>
        <w:autoSpaceDE/>
        <w:autoSpaceDN/>
        <w:bidi w:val="0"/>
        <w:adjustRightInd/>
        <w:snapToGrid/>
        <w:spacing w:after="0" w:line="360" w:lineRule="auto"/>
        <w:ind w:left="0" w:firstLine="440" w:firstLineChars="200"/>
        <w:textAlignment w:val="auto"/>
        <w:rPr>
          <w:color w:val="auto"/>
          <w:sz w:val="22"/>
          <w:szCs w:val="24"/>
        </w:rPr>
      </w:pPr>
      <w:r>
        <w:rPr>
          <w:rFonts w:ascii="仿宋_GB2312" w:hAnsi="仿宋_GB2312" w:eastAsia="仿宋_GB2312"/>
          <w:b w:val="0"/>
          <w:color w:val="auto"/>
          <w:sz w:val="22"/>
          <w:szCs w:val="24"/>
        </w:rPr>
        <w:t>[3] 全国人民代表大会. 中华人民共和国生态环境法典[Z].</w:t>
      </w:r>
    </w:p>
    <w:p w14:paraId="58F67B5C">
      <w:pPr>
        <w:keepNext w:val="0"/>
        <w:keepLines w:val="0"/>
        <w:pageBreakBefore w:val="0"/>
        <w:widowControl/>
        <w:kinsoku/>
        <w:wordWrap/>
        <w:overflowPunct/>
        <w:topLinePunct w:val="0"/>
        <w:autoSpaceDE/>
        <w:autoSpaceDN/>
        <w:bidi w:val="0"/>
        <w:adjustRightInd/>
        <w:snapToGrid/>
        <w:spacing w:after="0" w:line="360" w:lineRule="auto"/>
        <w:ind w:left="0" w:firstLine="440" w:firstLineChars="200"/>
        <w:textAlignment w:val="auto"/>
        <w:rPr>
          <w:color w:val="auto"/>
          <w:sz w:val="22"/>
          <w:szCs w:val="24"/>
        </w:rPr>
      </w:pPr>
      <w:r>
        <w:rPr>
          <w:rFonts w:ascii="仿宋_GB2312" w:hAnsi="仿宋_GB2312" w:eastAsia="仿宋_GB2312"/>
          <w:b w:val="0"/>
          <w:color w:val="auto"/>
          <w:sz w:val="22"/>
          <w:szCs w:val="24"/>
        </w:rPr>
        <w:t>[4] 生态环境部. 排污单位自行监测技术指南 总则：HJ 819—2017[S]. 北京：中国环境出版社，2017.</w:t>
      </w:r>
    </w:p>
    <w:p w14:paraId="621C872B">
      <w:pPr>
        <w:keepNext w:val="0"/>
        <w:keepLines w:val="0"/>
        <w:pageBreakBefore w:val="0"/>
        <w:widowControl/>
        <w:kinsoku/>
        <w:wordWrap/>
        <w:overflowPunct/>
        <w:topLinePunct w:val="0"/>
        <w:autoSpaceDE/>
        <w:autoSpaceDN/>
        <w:bidi w:val="0"/>
        <w:adjustRightInd/>
        <w:snapToGrid/>
        <w:spacing w:after="0" w:line="360" w:lineRule="auto"/>
        <w:ind w:left="0" w:firstLine="440" w:firstLineChars="200"/>
        <w:textAlignment w:val="auto"/>
        <w:rPr>
          <w:color w:val="auto"/>
          <w:sz w:val="22"/>
          <w:szCs w:val="24"/>
        </w:rPr>
      </w:pPr>
      <w:r>
        <w:rPr>
          <w:rFonts w:ascii="仿宋_GB2312" w:hAnsi="仿宋_GB2312" w:eastAsia="仿宋_GB2312"/>
          <w:b w:val="0"/>
          <w:color w:val="auto"/>
          <w:sz w:val="22"/>
          <w:szCs w:val="24"/>
        </w:rPr>
        <w:t>[5] 生态环境部. 污水监测技术规范：HJ 91.1—2019[S]. 北京：中国环境出版社，2019.</w:t>
      </w:r>
    </w:p>
    <w:p w14:paraId="4F1B0D0E">
      <w:pPr>
        <w:keepNext w:val="0"/>
        <w:keepLines w:val="0"/>
        <w:pageBreakBefore w:val="0"/>
        <w:widowControl/>
        <w:kinsoku/>
        <w:wordWrap/>
        <w:overflowPunct/>
        <w:topLinePunct w:val="0"/>
        <w:autoSpaceDE/>
        <w:autoSpaceDN/>
        <w:bidi w:val="0"/>
        <w:adjustRightInd/>
        <w:snapToGrid/>
        <w:spacing w:after="0" w:line="360" w:lineRule="auto"/>
        <w:ind w:left="0" w:firstLine="440" w:firstLineChars="200"/>
        <w:textAlignment w:val="auto"/>
        <w:rPr>
          <w:color w:val="auto"/>
          <w:sz w:val="22"/>
          <w:szCs w:val="24"/>
        </w:rPr>
      </w:pPr>
      <w:r>
        <w:rPr>
          <w:rFonts w:ascii="仿宋_GB2312" w:hAnsi="仿宋_GB2312" w:eastAsia="仿宋_GB2312"/>
          <w:b w:val="0"/>
          <w:color w:val="auto"/>
          <w:sz w:val="22"/>
          <w:szCs w:val="24"/>
        </w:rPr>
        <w:t>[6] 生态环境部. 排污单位污染物排放口监测点位设置技术规范：HJ 1405—2024[S]. 北京：中国环境出版社，2024.</w:t>
      </w:r>
    </w:p>
    <w:p w14:paraId="3D31BABB">
      <w:pPr>
        <w:keepNext w:val="0"/>
        <w:keepLines w:val="0"/>
        <w:pageBreakBefore w:val="0"/>
        <w:widowControl/>
        <w:kinsoku/>
        <w:wordWrap/>
        <w:overflowPunct/>
        <w:topLinePunct w:val="0"/>
        <w:autoSpaceDE/>
        <w:autoSpaceDN/>
        <w:bidi w:val="0"/>
        <w:adjustRightInd/>
        <w:snapToGrid/>
        <w:spacing w:after="0" w:line="360" w:lineRule="auto"/>
        <w:ind w:left="0" w:firstLine="440" w:firstLineChars="200"/>
        <w:textAlignment w:val="auto"/>
        <w:rPr>
          <w:color w:val="auto"/>
          <w:sz w:val="22"/>
          <w:szCs w:val="24"/>
        </w:rPr>
      </w:pPr>
      <w:r>
        <w:rPr>
          <w:rFonts w:ascii="仿宋_GB2312" w:hAnsi="仿宋_GB2312" w:eastAsia="仿宋_GB2312"/>
          <w:b w:val="0"/>
          <w:color w:val="auto"/>
          <w:sz w:val="22"/>
          <w:szCs w:val="24"/>
        </w:rPr>
        <w:t>[7] 生态环境部. 排污单位自行监测技术指南 电镀工业：HJ 985—2018[S]. 北京：中国环境出版社，2018.</w:t>
      </w:r>
    </w:p>
    <w:p w14:paraId="790C237F">
      <w:pPr>
        <w:keepNext w:val="0"/>
        <w:keepLines w:val="0"/>
        <w:pageBreakBefore w:val="0"/>
        <w:widowControl/>
        <w:kinsoku/>
        <w:wordWrap/>
        <w:overflowPunct/>
        <w:topLinePunct w:val="0"/>
        <w:autoSpaceDE/>
        <w:autoSpaceDN/>
        <w:bidi w:val="0"/>
        <w:adjustRightInd/>
        <w:snapToGrid/>
        <w:spacing w:after="0" w:line="360" w:lineRule="auto"/>
        <w:ind w:left="0" w:firstLine="440" w:firstLineChars="200"/>
        <w:textAlignment w:val="auto"/>
        <w:rPr>
          <w:color w:val="auto"/>
          <w:sz w:val="22"/>
          <w:szCs w:val="24"/>
        </w:rPr>
      </w:pPr>
      <w:r>
        <w:rPr>
          <w:rFonts w:ascii="仿宋_GB2312" w:hAnsi="仿宋_GB2312" w:eastAsia="仿宋_GB2312"/>
          <w:b w:val="0"/>
          <w:color w:val="auto"/>
          <w:sz w:val="22"/>
          <w:szCs w:val="24"/>
        </w:rPr>
        <w:t>[8] 生态环境部. 排污单位自行监测技术指南 石油化学工业：HJ 947—2018[S]. 北京：中国环境出版社，2018.</w:t>
      </w:r>
    </w:p>
    <w:p w14:paraId="55778DE4">
      <w:pPr>
        <w:keepNext w:val="0"/>
        <w:keepLines w:val="0"/>
        <w:pageBreakBefore w:val="0"/>
        <w:widowControl/>
        <w:kinsoku/>
        <w:wordWrap/>
        <w:overflowPunct/>
        <w:topLinePunct w:val="0"/>
        <w:autoSpaceDE/>
        <w:autoSpaceDN/>
        <w:bidi w:val="0"/>
        <w:adjustRightInd/>
        <w:snapToGrid/>
        <w:spacing w:after="0" w:line="360" w:lineRule="auto"/>
        <w:ind w:left="0" w:firstLine="440" w:firstLineChars="200"/>
        <w:textAlignment w:val="auto"/>
        <w:rPr>
          <w:color w:val="auto"/>
          <w:sz w:val="22"/>
          <w:szCs w:val="24"/>
        </w:rPr>
      </w:pPr>
      <w:r>
        <w:rPr>
          <w:rFonts w:ascii="仿宋_GB2312" w:hAnsi="仿宋_GB2312" w:eastAsia="仿宋_GB2312"/>
          <w:b w:val="0"/>
          <w:color w:val="auto"/>
          <w:sz w:val="22"/>
          <w:szCs w:val="24"/>
        </w:rPr>
        <w:t>[9] 生态环境部. 排污单位自行监测技术指南 纺织印染工业：HJ 879—2017[S]. 北京：中国环境出版社，2017.</w:t>
      </w:r>
    </w:p>
    <w:p w14:paraId="2FC55B19">
      <w:pPr>
        <w:keepNext w:val="0"/>
        <w:keepLines w:val="0"/>
        <w:pageBreakBefore w:val="0"/>
        <w:widowControl/>
        <w:kinsoku/>
        <w:wordWrap/>
        <w:overflowPunct/>
        <w:topLinePunct w:val="0"/>
        <w:autoSpaceDE/>
        <w:autoSpaceDN/>
        <w:bidi w:val="0"/>
        <w:adjustRightInd/>
        <w:snapToGrid/>
        <w:spacing w:after="0" w:line="360" w:lineRule="auto"/>
        <w:ind w:left="0" w:firstLine="440" w:firstLineChars="200"/>
        <w:textAlignment w:val="auto"/>
        <w:rPr>
          <w:color w:val="auto"/>
          <w:sz w:val="22"/>
          <w:szCs w:val="24"/>
        </w:rPr>
      </w:pPr>
      <w:r>
        <w:rPr>
          <w:rFonts w:ascii="仿宋_GB2312" w:hAnsi="仿宋_GB2312" w:eastAsia="仿宋_GB2312"/>
          <w:b w:val="0"/>
          <w:color w:val="auto"/>
          <w:sz w:val="22"/>
          <w:szCs w:val="24"/>
        </w:rPr>
        <w:t>[10] 生态环境部. 排污许可证申请与核发技术规范 电镀工业：HJ 855—2017[S]. 北京：中国环境出版社，2017.</w:t>
      </w:r>
    </w:p>
    <w:p w14:paraId="7815CF80">
      <w:pPr>
        <w:keepNext w:val="0"/>
        <w:keepLines w:val="0"/>
        <w:pageBreakBefore w:val="0"/>
        <w:widowControl/>
        <w:kinsoku/>
        <w:wordWrap/>
        <w:overflowPunct/>
        <w:topLinePunct w:val="0"/>
        <w:autoSpaceDE/>
        <w:autoSpaceDN/>
        <w:bidi w:val="0"/>
        <w:adjustRightInd/>
        <w:snapToGrid/>
        <w:spacing w:after="0" w:line="360" w:lineRule="auto"/>
        <w:ind w:left="0" w:firstLine="440" w:firstLineChars="200"/>
        <w:textAlignment w:val="auto"/>
        <w:rPr>
          <w:color w:val="auto"/>
          <w:sz w:val="22"/>
          <w:szCs w:val="24"/>
        </w:rPr>
      </w:pPr>
      <w:r>
        <w:rPr>
          <w:rFonts w:ascii="仿宋_GB2312" w:hAnsi="仿宋_GB2312" w:eastAsia="仿宋_GB2312"/>
          <w:b w:val="0"/>
          <w:color w:val="auto"/>
          <w:sz w:val="22"/>
          <w:szCs w:val="24"/>
        </w:rPr>
        <w:t>[11] 生态环境部. 排污许可证申请与核发技术规范 石化工业：HJ 853—2017[S]. 北京：中国环境出版社，2017.</w:t>
      </w:r>
    </w:p>
    <w:p w14:paraId="5DA0DA10">
      <w:pPr>
        <w:keepNext w:val="0"/>
        <w:keepLines w:val="0"/>
        <w:pageBreakBefore w:val="0"/>
        <w:widowControl/>
        <w:kinsoku/>
        <w:wordWrap/>
        <w:overflowPunct/>
        <w:topLinePunct w:val="0"/>
        <w:autoSpaceDE/>
        <w:autoSpaceDN/>
        <w:bidi w:val="0"/>
        <w:adjustRightInd/>
        <w:snapToGrid/>
        <w:spacing w:after="0" w:line="360" w:lineRule="auto"/>
        <w:ind w:left="0" w:firstLine="440" w:firstLineChars="200"/>
        <w:textAlignment w:val="auto"/>
        <w:rPr>
          <w:color w:val="auto"/>
          <w:sz w:val="22"/>
          <w:szCs w:val="24"/>
        </w:rPr>
      </w:pPr>
      <w:r>
        <w:rPr>
          <w:rFonts w:ascii="仿宋_GB2312" w:hAnsi="仿宋_GB2312" w:eastAsia="仿宋_GB2312"/>
          <w:b w:val="0"/>
          <w:color w:val="auto"/>
          <w:sz w:val="22"/>
          <w:szCs w:val="24"/>
        </w:rPr>
        <w:t>[12] 生态环境部. 排污许可证申请与核发技术规范 制药工业-原料药制造：HJ 858.1—2017[S]. 北京：中国环境出版社，2017.</w:t>
      </w:r>
    </w:p>
    <w:p w14:paraId="0E35A53C">
      <w:pPr>
        <w:keepNext w:val="0"/>
        <w:keepLines w:val="0"/>
        <w:pageBreakBefore w:val="0"/>
        <w:widowControl/>
        <w:kinsoku/>
        <w:wordWrap/>
        <w:overflowPunct/>
        <w:topLinePunct w:val="0"/>
        <w:autoSpaceDE/>
        <w:autoSpaceDN/>
        <w:bidi w:val="0"/>
        <w:adjustRightInd/>
        <w:snapToGrid/>
        <w:spacing w:after="0" w:line="360" w:lineRule="auto"/>
        <w:ind w:left="0" w:firstLine="440" w:firstLineChars="200"/>
        <w:textAlignment w:val="auto"/>
        <w:rPr>
          <w:color w:val="auto"/>
          <w:sz w:val="22"/>
          <w:szCs w:val="24"/>
        </w:rPr>
      </w:pPr>
      <w:r>
        <w:rPr>
          <w:rFonts w:ascii="仿宋_GB2312" w:hAnsi="仿宋_GB2312" w:eastAsia="仿宋_GB2312"/>
          <w:b w:val="0"/>
          <w:color w:val="auto"/>
          <w:sz w:val="22"/>
          <w:szCs w:val="24"/>
        </w:rPr>
        <w:t>[13] 生态环境部. 排污许可证申请与核发技术规范 化肥工业-氮肥：HJ 864.1—2017[S]. 北京：中国环境出版社，2017.</w:t>
      </w:r>
    </w:p>
    <w:p w14:paraId="7398AFF4">
      <w:pPr>
        <w:keepNext w:val="0"/>
        <w:keepLines w:val="0"/>
        <w:pageBreakBefore w:val="0"/>
        <w:widowControl/>
        <w:kinsoku/>
        <w:wordWrap/>
        <w:overflowPunct/>
        <w:topLinePunct w:val="0"/>
        <w:autoSpaceDE/>
        <w:autoSpaceDN/>
        <w:bidi w:val="0"/>
        <w:adjustRightInd/>
        <w:snapToGrid/>
        <w:spacing w:after="0" w:line="360" w:lineRule="auto"/>
        <w:ind w:left="0" w:firstLine="440" w:firstLineChars="200"/>
        <w:textAlignment w:val="auto"/>
        <w:rPr>
          <w:color w:val="auto"/>
          <w:sz w:val="22"/>
          <w:szCs w:val="24"/>
        </w:rPr>
      </w:pPr>
      <w:r>
        <w:rPr>
          <w:rFonts w:ascii="仿宋_GB2312" w:hAnsi="仿宋_GB2312" w:eastAsia="仿宋_GB2312"/>
          <w:b w:val="0"/>
          <w:color w:val="auto"/>
          <w:sz w:val="22"/>
          <w:szCs w:val="24"/>
        </w:rPr>
        <w:t>[14] 住房和城乡建设部. 室外排水设计标准：GB 50014—2021[S]. 北京：中国建筑工业出版社，2021.</w:t>
      </w:r>
    </w:p>
    <w:p w14:paraId="4A504F54">
      <w:pPr>
        <w:keepNext w:val="0"/>
        <w:keepLines w:val="0"/>
        <w:pageBreakBefore w:val="0"/>
        <w:widowControl/>
        <w:kinsoku/>
        <w:wordWrap/>
        <w:overflowPunct/>
        <w:topLinePunct w:val="0"/>
        <w:autoSpaceDE/>
        <w:autoSpaceDN/>
        <w:bidi w:val="0"/>
        <w:adjustRightInd/>
        <w:snapToGrid/>
        <w:spacing w:after="0" w:line="360" w:lineRule="auto"/>
        <w:ind w:left="0" w:firstLine="440" w:firstLineChars="200"/>
        <w:textAlignment w:val="auto"/>
        <w:rPr>
          <w:color w:val="auto"/>
          <w:sz w:val="22"/>
          <w:szCs w:val="24"/>
        </w:rPr>
      </w:pPr>
      <w:r>
        <w:rPr>
          <w:rFonts w:ascii="仿宋_GB2312" w:hAnsi="仿宋_GB2312" w:eastAsia="仿宋_GB2312"/>
          <w:b w:val="0"/>
          <w:color w:val="auto"/>
          <w:sz w:val="22"/>
          <w:szCs w:val="24"/>
        </w:rPr>
        <w:t>[15] 生态环境部. 环境保护图形标志—排放口（源）：GB 15562.1[S].</w:t>
      </w:r>
    </w:p>
    <w:p w14:paraId="3E7B8B8D">
      <w:pPr>
        <w:keepNext w:val="0"/>
        <w:keepLines w:val="0"/>
        <w:pageBreakBefore w:val="0"/>
        <w:widowControl/>
        <w:kinsoku/>
        <w:wordWrap/>
        <w:overflowPunct/>
        <w:topLinePunct w:val="0"/>
        <w:autoSpaceDE/>
        <w:autoSpaceDN/>
        <w:bidi w:val="0"/>
        <w:adjustRightInd/>
        <w:snapToGrid/>
        <w:spacing w:after="0" w:line="360" w:lineRule="auto"/>
        <w:ind w:left="0" w:firstLine="440" w:firstLineChars="200"/>
        <w:textAlignment w:val="auto"/>
        <w:rPr>
          <w:color w:val="auto"/>
          <w:sz w:val="22"/>
          <w:szCs w:val="24"/>
        </w:rPr>
      </w:pPr>
      <w:r>
        <w:rPr>
          <w:rFonts w:ascii="仿宋_GB2312" w:hAnsi="仿宋_GB2312" w:eastAsia="仿宋_GB2312"/>
          <w:b w:val="0"/>
          <w:color w:val="auto"/>
          <w:sz w:val="22"/>
          <w:szCs w:val="24"/>
        </w:rPr>
        <w:t>[16] 生态环境部. 排放口二维码标识技术规范：HJ 1297[S].</w:t>
      </w:r>
    </w:p>
    <w:p w14:paraId="448AEB4A">
      <w:pPr>
        <w:keepNext w:val="0"/>
        <w:keepLines w:val="0"/>
        <w:pageBreakBefore w:val="0"/>
        <w:widowControl/>
        <w:kinsoku/>
        <w:wordWrap/>
        <w:overflowPunct/>
        <w:topLinePunct w:val="0"/>
        <w:autoSpaceDE/>
        <w:autoSpaceDN/>
        <w:bidi w:val="0"/>
        <w:adjustRightInd/>
        <w:snapToGrid/>
        <w:spacing w:after="0" w:line="360" w:lineRule="auto"/>
        <w:ind w:left="0" w:firstLine="440" w:firstLineChars="200"/>
        <w:textAlignment w:val="auto"/>
        <w:rPr>
          <w:color w:val="auto"/>
          <w:sz w:val="22"/>
          <w:szCs w:val="24"/>
        </w:rPr>
      </w:pPr>
      <w:r>
        <w:rPr>
          <w:rFonts w:ascii="仿宋_GB2312" w:hAnsi="仿宋_GB2312" w:eastAsia="仿宋_GB2312"/>
          <w:b w:val="0"/>
          <w:color w:val="auto"/>
          <w:sz w:val="22"/>
          <w:szCs w:val="24"/>
        </w:rPr>
        <w:t>[17] 住房和城乡建设部. 堰槽测流标准：CJ/T 3008.1~3008.5[S].</w:t>
      </w:r>
    </w:p>
    <w:p w14:paraId="14F13D2C">
      <w:pPr>
        <w:keepNext w:val="0"/>
        <w:keepLines w:val="0"/>
        <w:pageBreakBefore w:val="0"/>
        <w:widowControl/>
        <w:kinsoku/>
        <w:wordWrap/>
        <w:overflowPunct/>
        <w:topLinePunct w:val="0"/>
        <w:autoSpaceDE/>
        <w:autoSpaceDN/>
        <w:bidi w:val="0"/>
        <w:adjustRightInd/>
        <w:snapToGrid/>
        <w:spacing w:after="0" w:line="360" w:lineRule="auto"/>
        <w:ind w:left="0" w:firstLine="440" w:firstLineChars="200"/>
        <w:textAlignment w:val="auto"/>
        <w:rPr>
          <w:color w:val="auto"/>
          <w:sz w:val="22"/>
          <w:szCs w:val="24"/>
        </w:rPr>
      </w:pPr>
      <w:r>
        <w:rPr>
          <w:rFonts w:ascii="仿宋_GB2312" w:hAnsi="仿宋_GB2312" w:eastAsia="仿宋_GB2312"/>
          <w:b w:val="0"/>
          <w:color w:val="auto"/>
          <w:sz w:val="22"/>
          <w:szCs w:val="24"/>
        </w:rPr>
        <w:t>[18] 生态环境部. 排污单位自行监测技术指南 其他相关行业[S].</w:t>
      </w:r>
    </w:p>
    <w:p w14:paraId="0F860750">
      <w:pPr>
        <w:keepNext w:val="0"/>
        <w:keepLines w:val="0"/>
        <w:pageBreakBefore w:val="0"/>
        <w:widowControl/>
        <w:kinsoku/>
        <w:wordWrap/>
        <w:overflowPunct/>
        <w:topLinePunct w:val="0"/>
        <w:autoSpaceDE/>
        <w:autoSpaceDN/>
        <w:bidi w:val="0"/>
        <w:adjustRightInd/>
        <w:snapToGrid/>
        <w:spacing w:after="0" w:line="360" w:lineRule="auto"/>
        <w:ind w:left="0" w:firstLine="440" w:firstLineChars="200"/>
        <w:textAlignment w:val="auto"/>
        <w:rPr>
          <w:rFonts w:hint="eastAsia"/>
          <w:b w:val="0"/>
          <w:color w:val="auto"/>
          <w:sz w:val="22"/>
          <w:szCs w:val="24"/>
          <w:lang w:val="en-US" w:eastAsia="zh-CN"/>
        </w:rPr>
      </w:pPr>
      <w:r>
        <w:rPr>
          <w:rFonts w:hint="eastAsia"/>
          <w:b w:val="0"/>
          <w:color w:val="auto"/>
          <w:sz w:val="22"/>
          <w:szCs w:val="24"/>
          <w:lang w:val="en-US" w:eastAsia="zh-CN"/>
        </w:rPr>
        <w:t xml:space="preserve">[19] </w:t>
      </w:r>
      <w:r>
        <w:rPr>
          <w:rFonts w:hint="eastAsia" w:ascii="仿宋_GB2312" w:hAnsi="仿宋_GB2312" w:eastAsia="仿宋_GB2312"/>
          <w:b w:val="0"/>
          <w:color w:val="auto"/>
          <w:sz w:val="22"/>
          <w:szCs w:val="24"/>
        </w:rPr>
        <w:t>化工建设项目环境保护工程设计标准（GB/T 50483-2019）</w:t>
      </w:r>
      <w:r>
        <w:rPr>
          <w:rFonts w:hint="eastAsia"/>
          <w:b w:val="0"/>
          <w:color w:val="auto"/>
          <w:sz w:val="22"/>
          <w:szCs w:val="24"/>
          <w:lang w:val="en-US" w:eastAsia="zh-CN"/>
        </w:rPr>
        <w:t>.</w:t>
      </w:r>
    </w:p>
    <w:p w14:paraId="51CC4C32">
      <w:pPr>
        <w:keepNext w:val="0"/>
        <w:keepLines w:val="0"/>
        <w:pageBreakBefore w:val="0"/>
        <w:widowControl/>
        <w:kinsoku/>
        <w:wordWrap/>
        <w:overflowPunct/>
        <w:topLinePunct w:val="0"/>
        <w:autoSpaceDE/>
        <w:autoSpaceDN/>
        <w:bidi w:val="0"/>
        <w:adjustRightInd/>
        <w:snapToGrid/>
        <w:spacing w:after="0" w:line="360" w:lineRule="auto"/>
        <w:ind w:left="0" w:firstLine="440" w:firstLineChars="200"/>
        <w:textAlignment w:val="auto"/>
        <w:rPr>
          <w:rFonts w:hint="default"/>
          <w:b w:val="0"/>
          <w:color w:val="auto"/>
          <w:sz w:val="22"/>
          <w:szCs w:val="24"/>
          <w:lang w:val="en-US" w:eastAsia="zh-CN"/>
        </w:rPr>
      </w:pPr>
      <w:r>
        <w:rPr>
          <w:rFonts w:hint="eastAsia"/>
          <w:b w:val="0"/>
          <w:color w:val="auto"/>
          <w:sz w:val="22"/>
          <w:szCs w:val="24"/>
          <w:lang w:val="en-US" w:eastAsia="zh-CN"/>
        </w:rPr>
        <w:t>[20] 石油化工给水排水系统设计规范（SH/T 3015-2019）.</w:t>
      </w:r>
    </w:p>
    <w:p w14:paraId="7FC9ED7A">
      <w:pPr>
        <w:keepNext w:val="0"/>
        <w:keepLines w:val="0"/>
        <w:pageBreakBefore w:val="0"/>
        <w:widowControl/>
        <w:kinsoku/>
        <w:wordWrap/>
        <w:overflowPunct/>
        <w:topLinePunct w:val="0"/>
        <w:autoSpaceDE/>
        <w:autoSpaceDN/>
        <w:bidi w:val="0"/>
        <w:adjustRightInd/>
        <w:snapToGrid/>
        <w:spacing w:after="0" w:line="360" w:lineRule="auto"/>
        <w:ind w:left="0" w:firstLine="440" w:firstLineChars="200"/>
        <w:textAlignment w:val="auto"/>
        <w:rPr>
          <w:rFonts w:hint="eastAsia"/>
          <w:b w:val="0"/>
          <w:color w:val="auto"/>
          <w:sz w:val="22"/>
          <w:szCs w:val="24"/>
          <w:lang w:val="en-US" w:eastAsia="zh-CN"/>
        </w:rPr>
      </w:pPr>
    </w:p>
    <w:p w14:paraId="54992BF7">
      <w:pPr>
        <w:keepNext w:val="0"/>
        <w:keepLines w:val="0"/>
        <w:pageBreakBefore w:val="0"/>
        <w:widowControl/>
        <w:kinsoku/>
        <w:wordWrap/>
        <w:overflowPunct/>
        <w:topLinePunct w:val="0"/>
        <w:autoSpaceDE/>
        <w:autoSpaceDN/>
        <w:bidi w:val="0"/>
        <w:adjustRightInd/>
        <w:snapToGrid/>
        <w:spacing w:after="0" w:line="360" w:lineRule="auto"/>
        <w:ind w:left="0" w:firstLine="440" w:firstLineChars="200"/>
        <w:textAlignment w:val="auto"/>
        <w:rPr>
          <w:rFonts w:hint="eastAsia" w:ascii="仿宋_GB2312" w:hAnsi="仿宋_GB2312" w:eastAsia="仿宋_GB2312"/>
          <w:b w:val="0"/>
          <w:color w:val="auto"/>
          <w:sz w:val="22"/>
          <w:szCs w:val="24"/>
        </w:rPr>
      </w:pPr>
    </w:p>
    <w:sectPr>
      <w:footerReference r:id="rId5" w:type="default"/>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ＭＳ ゴシック">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华文仿宋">
    <w:panose1 w:val="02010600040101010101"/>
    <w:charset w:val="86"/>
    <w:family w:val="auto"/>
    <w:pitch w:val="default"/>
    <w:sig w:usb0="00000287" w:usb1="080F0000" w:usb2="00000000" w:usb3="00000000" w:csb0="0004009F" w:csb1="DFD70000"/>
  </w:font>
  <w:font w:name="ＭＳ 明朝">
    <w:altName w:val="C059"/>
    <w:panose1 w:val="00000000000000000000"/>
    <w:charset w:val="00"/>
    <w:family w:val="auto"/>
    <w:pitch w:val="default"/>
    <w:sig w:usb0="00000000" w:usb1="00000000" w:usb2="00000000" w:usb3="00000000" w:csb0="00000000" w:csb1="00000000"/>
  </w:font>
  <w:font w:name="MathJax_Vector">
    <w:panose1 w:val="02000603000000000000"/>
    <w:charset w:val="00"/>
    <w:family w:val="auto"/>
    <w:pitch w:val="default"/>
    <w:sig w:usb0="00000001" w:usb1="00000020" w:usb2="00000000" w:usb3="00000000" w:csb0="00000001" w:csb1="00000000"/>
  </w:font>
  <w:font w:name="Cambria">
    <w:altName w:val="FreeSerif"/>
    <w:panose1 w:val="02040503050406030204"/>
    <w:charset w:val="00"/>
    <w:family w:val="auto"/>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B52C2">
    <w:pPr>
      <w:pStyle w:val="24"/>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4D6CAD">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14D6CAD">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AEA8B2"/>
    <w:multiLevelType w:val="multilevel"/>
    <w:tmpl w:val="90AEA8B2"/>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FDF7934"/>
    <w:rsid w:val="10CF1AEF"/>
    <w:rsid w:val="13AC5EED"/>
    <w:rsid w:val="15170F55"/>
    <w:rsid w:val="198A4875"/>
    <w:rsid w:val="1C87265B"/>
    <w:rsid w:val="1D463449"/>
    <w:rsid w:val="1E0F40EA"/>
    <w:rsid w:val="1FFF0D8B"/>
    <w:rsid w:val="23B31EEB"/>
    <w:rsid w:val="25072C0B"/>
    <w:rsid w:val="2DF39BFC"/>
    <w:rsid w:val="2F922959"/>
    <w:rsid w:val="37533157"/>
    <w:rsid w:val="3786216F"/>
    <w:rsid w:val="37E9B1A3"/>
    <w:rsid w:val="39F39548"/>
    <w:rsid w:val="47EC5F8C"/>
    <w:rsid w:val="51CC5232"/>
    <w:rsid w:val="520F2795"/>
    <w:rsid w:val="53E2565B"/>
    <w:rsid w:val="59C67039"/>
    <w:rsid w:val="5E3B6769"/>
    <w:rsid w:val="5EFFE82A"/>
    <w:rsid w:val="66FF3AD4"/>
    <w:rsid w:val="678767F3"/>
    <w:rsid w:val="6BB7C851"/>
    <w:rsid w:val="6D722424"/>
    <w:rsid w:val="6E7B2CDE"/>
    <w:rsid w:val="72EF583B"/>
    <w:rsid w:val="73FB73FC"/>
    <w:rsid w:val="745FDA17"/>
    <w:rsid w:val="76B5443B"/>
    <w:rsid w:val="794F0AD4"/>
    <w:rsid w:val="7BEF5955"/>
    <w:rsid w:val="7C0D1219"/>
    <w:rsid w:val="7D7DAFA3"/>
    <w:rsid w:val="7EFEF447"/>
    <w:rsid w:val="7FFF6D12"/>
    <w:rsid w:val="7FFFABC6"/>
    <w:rsid w:val="AF9DD739"/>
    <w:rsid w:val="B763537D"/>
    <w:rsid w:val="B7BBCC66"/>
    <w:rsid w:val="BBB5844C"/>
    <w:rsid w:val="BCBFCC04"/>
    <w:rsid w:val="BF3C92B8"/>
    <w:rsid w:val="CBBEAAD8"/>
    <w:rsid w:val="CD9311CF"/>
    <w:rsid w:val="D47B43EE"/>
    <w:rsid w:val="D7C7177A"/>
    <w:rsid w:val="D7DFEA25"/>
    <w:rsid w:val="DF9601FF"/>
    <w:rsid w:val="DFBD6B2B"/>
    <w:rsid w:val="E9FDEEA9"/>
    <w:rsid w:val="EEFED638"/>
    <w:rsid w:val="EFB7F9C7"/>
    <w:rsid w:val="F4FB068B"/>
    <w:rsid w:val="FECF0979"/>
    <w:rsid w:val="FFF9D8E4"/>
    <w:rsid w:val="FFFF482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仿宋_GB2312" w:hAnsi="仿宋_GB2312" w:eastAsia="仿宋_GB2312" w:cstheme="minorBidi"/>
      <w:sz w:val="21"/>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华文仿宋" w:hAnsi="华文仿宋"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36"/>
    <w:unhideWhenUsed/>
    <w:qFormat/>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qFormat/>
    <w:uiPriority w:val="99"/>
  </w:style>
  <w:style w:type="character" w:customStyle="1" w:styleId="137">
    <w:name w:val="Footer Char"/>
    <w:basedOn w:val="133"/>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qFormat/>
    <w:uiPriority w:val="99"/>
  </w:style>
  <w:style w:type="character" w:customStyle="1" w:styleId="146">
    <w:name w:val="Body Text 2 Char"/>
    <w:basedOn w:val="133"/>
    <w:link w:val="28"/>
    <w:qFormat/>
    <w:uiPriority w:val="99"/>
  </w:style>
  <w:style w:type="character" w:customStyle="1" w:styleId="147">
    <w:name w:val="Body Text 3 Char"/>
    <w:basedOn w:val="133"/>
    <w:link w:val="17"/>
    <w:qFormat/>
    <w:uiPriority w:val="99"/>
    <w:rPr>
      <w:sz w:val="16"/>
      <w:szCs w:val="16"/>
    </w:rPr>
  </w:style>
  <w:style w:type="character" w:customStyle="1" w:styleId="148">
    <w:name w:val="Macro Text Char"/>
    <w:basedOn w:val="133"/>
    <w:link w:val="2"/>
    <w:qFormat/>
    <w:uiPriority w:val="99"/>
    <w:rPr>
      <w:rFonts w:ascii="华文仿宋" w:hAnsi="华文仿宋"/>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6874</Words>
  <Characters>7466</Characters>
  <Lines>0</Lines>
  <Paragraphs>0</Paragraphs>
  <TotalTime>26</TotalTime>
  <ScaleCrop>false</ScaleCrop>
  <LinksUpToDate>false</LinksUpToDate>
  <CharactersWithSpaces>7650</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2013-12-27T15:15:00Z</dcterms:created>
  <dc:creator>python-docx</dc:creator>
  <dc:description>generated by python-docx</dc:description>
  <cp:lastModifiedBy>user</cp:lastModifiedBy>
  <cp:lastPrinted>2026-08-27T21:43:00Z</cp:lastPrinted>
  <dcterms:modified xsi:type="dcterms:W3CDTF">2026-09-11T09:35:45Z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eyJoZGlkIjoiYTMzZDcyYzZiYmRmYjcyYjU5YWE3ZmU0YzA1ZDYzYTMiLCJ1c2VySWQiOiIxMzYxNDYxMjk1In0=</vt:lpwstr>
  </property>
  <property fmtid="{D5CDD505-2E9C-101B-9397-08002B2CF9AE}" pid="3" name="KSOProductBuildVer">
    <vt:lpwstr>2052-12.1.2.24730</vt:lpwstr>
  </property>
  <property fmtid="{D5CDD505-2E9C-101B-9397-08002B2CF9AE}" pid="4" name="ICV">
    <vt:lpwstr>C8E8F0EA82184F09906BC293F2D6D587_13</vt:lpwstr>
  </property>
</Properties>
</file>