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市生态环境局关于进一步促进民营经济</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高质量发展的通知</w:t>
      </w:r>
    </w:p>
    <w:p>
      <w:pPr>
        <w:spacing w:line="580" w:lineRule="exact"/>
        <w:jc w:val="center"/>
        <w:rPr>
          <w:rFonts w:ascii="楷体_GB2312" w:hAnsi="方正小标宋_GBK" w:eastAsia="楷体_GB2312" w:cs="方正小标宋_GBK"/>
          <w:sz w:val="32"/>
          <w:szCs w:val="32"/>
        </w:rPr>
      </w:pPr>
      <w:r>
        <w:rPr>
          <w:rFonts w:hint="eastAsia" w:ascii="楷体_GB2312" w:hAnsi="方正小标宋_GBK" w:eastAsia="楷体_GB2312" w:cs="方正小标宋_GBK"/>
          <w:sz w:val="32"/>
          <w:szCs w:val="32"/>
        </w:rPr>
        <w:t>（</w:t>
      </w:r>
      <w:r>
        <w:rPr>
          <w:rFonts w:hint="eastAsia" w:ascii="楷体_GB2312" w:hAnsi="方正小标宋_GBK" w:eastAsia="楷体_GB2312" w:cs="方正小标宋_GBK"/>
          <w:sz w:val="32"/>
          <w:szCs w:val="32"/>
          <w:lang w:eastAsia="zh-CN"/>
        </w:rPr>
        <w:t>征求意见</w:t>
      </w:r>
      <w:r>
        <w:rPr>
          <w:rFonts w:hint="eastAsia" w:ascii="楷体_GB2312" w:hAnsi="方正小标宋_GBK" w:eastAsia="楷体_GB2312" w:cs="方正小标宋_GBK"/>
          <w:sz w:val="32"/>
          <w:szCs w:val="32"/>
        </w:rPr>
        <w:t>稿）</w:t>
      </w:r>
      <w:bookmarkStart w:id="0" w:name="_GoBack"/>
      <w:bookmarkEnd w:id="0"/>
    </w:p>
    <w:p>
      <w:pPr>
        <w:spacing w:line="580" w:lineRule="exact"/>
        <w:ind w:firstLine="880" w:firstLineChars="200"/>
        <w:rPr>
          <w:rFonts w:ascii="仿宋_GB2312" w:hAnsi="方正小标宋_GBK" w:eastAsia="仿宋_GB2312" w:cs="方正小标宋_GBK"/>
          <w:sz w:val="44"/>
          <w:szCs w:val="44"/>
        </w:rPr>
      </w:pP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为贯彻落实生态环境部关于《生态环境部门进一步促进民营经济发展的若干措施》的通知（环综合</w:t>
      </w:r>
      <w:r>
        <w:rPr>
          <w:rFonts w:hint="eastAsia" w:ascii="Times New Roman" w:hAnsi="Times New Roman" w:eastAsia="微软雅黑"/>
          <w:sz w:val="32"/>
          <w:szCs w:val="32"/>
        </w:rPr>
        <w:t>〔</w:t>
      </w:r>
      <w:r>
        <w:rPr>
          <w:rFonts w:ascii="Times New Roman" w:hAnsi="Times New Roman" w:eastAsia="仿宋_GB2312"/>
          <w:sz w:val="32"/>
          <w:szCs w:val="32"/>
        </w:rPr>
        <w:t>2024</w:t>
      </w:r>
      <w:r>
        <w:rPr>
          <w:rFonts w:hint="eastAsia" w:ascii="Times New Roman" w:hAnsi="Times New Roman" w:eastAsia="微软雅黑"/>
          <w:sz w:val="32"/>
          <w:szCs w:val="32"/>
        </w:rPr>
        <w:t>〕</w:t>
      </w:r>
      <w:r>
        <w:rPr>
          <w:rFonts w:ascii="Times New Roman" w:hAnsi="Times New Roman" w:eastAsia="仿宋_GB2312"/>
          <w:sz w:val="32"/>
          <w:szCs w:val="32"/>
        </w:rPr>
        <w:t>62号）精神，结合苏州实际，制定《市生态环境局关于进一步促进民营经济高质量发展的通知》。</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一、支持绿色发展</w:t>
      </w:r>
    </w:p>
    <w:p>
      <w:pPr>
        <w:spacing w:line="580"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1.促进绿色低碳转型。</w:t>
      </w:r>
      <w:r>
        <w:rPr>
          <w:rFonts w:ascii="Times New Roman" w:hAnsi="Times New Roman" w:eastAsia="仿宋_GB2312"/>
          <w:sz w:val="32"/>
          <w:szCs w:val="32"/>
        </w:rPr>
        <w:t>积极配合开展环境技术规范和标准的修制定，鼓励和引导生态环境保护龙头企业制定行业技术规范和标准。落实强制性清洁生产审核工作，依法对符合“双超”“双有”条件的企业开展审核，提升清洁生产管理水平。推进产品碳足迹管理体系建设，引导企业绿色低碳发展。结合重点行业超低排放改造等工作推进企业提升清洁化运输水平，持续推动企业燃油叉车新能源替代更新。</w:t>
      </w:r>
      <w:r>
        <w:rPr>
          <w:rFonts w:ascii="Times New Roman" w:hAnsi="Times New Roman" w:eastAsia="楷体_GB2312"/>
          <w:sz w:val="32"/>
          <w:szCs w:val="32"/>
        </w:rPr>
        <w:t>（法规处、大气处牵头，驻各地生态环境局、苏州工业园区生态环境局落实；以下均需各地局负责落实，不再列出）</w:t>
      </w:r>
    </w:p>
    <w:p>
      <w:pPr>
        <w:spacing w:line="580" w:lineRule="exact"/>
        <w:ind w:firstLine="640" w:firstLineChars="200"/>
        <w:rPr>
          <w:rFonts w:ascii="Times New Roman" w:hAnsi="Times New Roman" w:eastAsia="楷体_GB2312"/>
          <w:color w:val="FF0000"/>
          <w:sz w:val="32"/>
          <w:szCs w:val="32"/>
        </w:rPr>
      </w:pPr>
      <w:r>
        <w:rPr>
          <w:rFonts w:ascii="楷体_GB2312" w:hAnsi="Times New Roman" w:eastAsia="楷体_GB2312"/>
          <w:sz w:val="32"/>
          <w:szCs w:val="32"/>
        </w:rPr>
        <w:t>2.推动大规模设备更新。</w:t>
      </w:r>
      <w:r>
        <w:rPr>
          <w:rFonts w:ascii="Times New Roman" w:hAnsi="Times New Roman" w:eastAsia="仿宋_GB2312"/>
          <w:sz w:val="32"/>
          <w:szCs w:val="32"/>
        </w:rPr>
        <w:t>推动相关涉气重点行业实施超低排放改造或深度治理，积极支持企业大气污染治理设施更新升级，积极协助相关企业向上申报中央大气污染防治资金。积极支持企业升级生产工艺设备，更新污水处理设施，提升中水回用水平。督促废弃电子产品拆解处理企业严格履行社会责任，落实“规范拆解行为，保障环境安全”的总要求，建立健全内部管理机制，提升清洁生产水平，规范运行污染防治设施，有效管控拆解处理环境风险。推动企业环境保护专用设备更新给予上级资金、绿色金融等财政政策支持。</w:t>
      </w:r>
      <w:r>
        <w:rPr>
          <w:rFonts w:ascii="Times New Roman" w:hAnsi="Times New Roman" w:eastAsia="楷体_GB2312"/>
          <w:sz w:val="32"/>
          <w:szCs w:val="32"/>
        </w:rPr>
        <w:t>（大气处、水处、固体处、财审处按职责分工落实）</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3.增加环境治理服务供给。</w:t>
      </w:r>
      <w:r>
        <w:rPr>
          <w:rFonts w:ascii="Times New Roman" w:hAnsi="Times New Roman" w:eastAsia="仿宋_GB2312"/>
          <w:sz w:val="32"/>
          <w:szCs w:val="32"/>
        </w:rPr>
        <w:t>建立健全覆盖全市范围的小量危险废物集中收集体系，服务小微企业及研发机构实验室等特殊单位便捷转移危险废物需求。在部分区域创新采取定时定点集中收运服务新模式，因地制宜提升危险废物收运效率。鼓励工业园区、工业集聚区因地制宜建设工业污水集中处理设施，提升工业废水集中收集处理水平。</w:t>
      </w:r>
      <w:r>
        <w:rPr>
          <w:rFonts w:ascii="Times New Roman" w:hAnsi="Times New Roman" w:eastAsia="楷体_GB2312"/>
          <w:sz w:val="32"/>
          <w:szCs w:val="32"/>
        </w:rPr>
        <w:t>（固体处、水处按职责分工落实）</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4.加强生态环境科技支撑。</w:t>
      </w:r>
      <w:r>
        <w:rPr>
          <w:rFonts w:ascii="Times New Roman" w:hAnsi="Times New Roman" w:eastAsia="仿宋_GB2312"/>
          <w:sz w:val="32"/>
          <w:szCs w:val="32"/>
        </w:rPr>
        <w:t>按照国家和省级科技帮扶行动计划，结合驻地局和污染物要素处室（单位）的自身优势，对园区、乡镇和重点行业企业开展座谈、培训、现场指导等多种形式的科技帮扶。面向社会征集先进污染防治技术，鼓励民营企业积极申报，加快企业先进技术推广应用。推广国家生态环境科技成果转化综合服务平台，促进科技成果与需求的顺利对接。鼓励具备条件的民营企业参与生态环境重大科技计划和创新平台建设。</w:t>
      </w:r>
      <w:r>
        <w:rPr>
          <w:rFonts w:ascii="Times New Roman" w:hAnsi="Times New Roman" w:eastAsia="楷体_GB2312"/>
          <w:sz w:val="32"/>
          <w:szCs w:val="32"/>
        </w:rPr>
        <w:t>（法规处牵头）</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5.支持发展环保产业。</w:t>
      </w:r>
      <w:r>
        <w:rPr>
          <w:rFonts w:ascii="Times New Roman" w:hAnsi="Times New Roman" w:eastAsia="仿宋_GB2312"/>
          <w:sz w:val="32"/>
          <w:szCs w:val="32"/>
        </w:rPr>
        <w:t>结合“十五五”规划编制研究实施一批生态环境保护治理重大工程，配合工信部门引导环保企业延伸拓展服务范围和服务领域，促进生态环保产业、节能产业、资源循环利用产业、低碳产业一体化融合发展。</w:t>
      </w:r>
      <w:r>
        <w:rPr>
          <w:rFonts w:hint="eastAsia" w:ascii="Times New Roman" w:hAnsi="Times New Roman" w:eastAsia="仿宋_GB2312"/>
          <w:sz w:val="32"/>
          <w:szCs w:val="32"/>
        </w:rPr>
        <w:t>开展污染治理设备自动化智能化管理技术推广，推进重点行业企业节能降碳策略研究，开展技术培训和监督帮扶工作。推动高等学校、科研院所、企业共同开展生态环境领域共性关键技术、设备研发及应用，研发适合苏州市实际需求的源头管控、污染阻断、应急处置、修复治理新技术。</w:t>
      </w:r>
      <w:r>
        <w:rPr>
          <w:rFonts w:ascii="Times New Roman" w:hAnsi="Times New Roman" w:eastAsia="楷体_GB2312"/>
          <w:sz w:val="32"/>
          <w:szCs w:val="32"/>
        </w:rPr>
        <w:t>（</w:t>
      </w:r>
      <w:r>
        <w:rPr>
          <w:rFonts w:hint="eastAsia" w:ascii="Times New Roman" w:hAnsi="Times New Roman" w:eastAsia="楷体_GB2312"/>
          <w:sz w:val="32"/>
          <w:szCs w:val="32"/>
        </w:rPr>
        <w:t>各相关</w:t>
      </w:r>
      <w:r>
        <w:rPr>
          <w:rFonts w:ascii="Times New Roman" w:hAnsi="Times New Roman" w:eastAsia="楷体_GB2312"/>
          <w:sz w:val="32"/>
          <w:szCs w:val="32"/>
        </w:rPr>
        <w:t>处室单位按职责分工落实）</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二、优化环境准入</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6.提高行政审批服务水平。</w:t>
      </w:r>
      <w:r>
        <w:rPr>
          <w:rFonts w:ascii="Times New Roman" w:hAnsi="Times New Roman" w:eastAsia="仿宋_GB2312"/>
          <w:sz w:val="32"/>
          <w:szCs w:val="32"/>
        </w:rPr>
        <w:t>全面提升政务服务能力和水平，严格按照权责清单设立政务服务事项事项，实行政务服务事项动态调整，进一步明确受理条件、服务对象、申报材料、服务流程等内容，细化审批流程及材料清单，做到一次性告知。</w:t>
      </w:r>
      <w:r>
        <w:rPr>
          <w:rFonts w:ascii="Times New Roman" w:hAnsi="Times New Roman" w:eastAsia="楷体_GB2312"/>
          <w:sz w:val="32"/>
          <w:szCs w:val="32"/>
        </w:rPr>
        <w:t>（环评处牵头）</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7.持续深化环评改革。</w:t>
      </w:r>
      <w:r>
        <w:rPr>
          <w:rFonts w:ascii="Times New Roman" w:hAnsi="Times New Roman" w:eastAsia="仿宋_GB2312"/>
          <w:sz w:val="32"/>
          <w:szCs w:val="32"/>
        </w:rPr>
        <w:t>深化长三角生态绿色一体化发展示范区产业园区规划环评与项目环评联动改革，进一步简化项目环评手续、优化总量管理、促进示范区产业园区的绿色发展。持续开展产业园区规划环评与项目环评联动改革试点，实施告知承诺制审批、同类项目打捆审批等改革措施，持续释放改革效能。继续实施环评审批“绿色通道”机制，对符合生态环境保护要求的民营重大投资项目，开辟绿色通道，实施即报即受理即转评估，提高环评审批效率。</w:t>
      </w:r>
      <w:r>
        <w:rPr>
          <w:rFonts w:ascii="Times New Roman" w:hAnsi="Times New Roman" w:eastAsia="楷体_GB2312"/>
          <w:sz w:val="32"/>
          <w:szCs w:val="32"/>
        </w:rPr>
        <w:t>（环评处牵头）</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8.持续优化总量指标管理。</w:t>
      </w:r>
      <w:r>
        <w:rPr>
          <w:rFonts w:ascii="Times New Roman" w:hAnsi="Times New Roman" w:eastAsia="仿宋_GB2312"/>
          <w:sz w:val="32"/>
          <w:szCs w:val="32"/>
        </w:rPr>
        <w:t>推进落实市级总量奖励制度，强化市级总量要素保障</w:t>
      </w:r>
      <w:r>
        <w:rPr>
          <w:rFonts w:hint="eastAsia" w:ascii="Times New Roman" w:hAnsi="Times New Roman" w:eastAsia="仿宋_GB2312"/>
          <w:sz w:val="32"/>
          <w:szCs w:val="32"/>
        </w:rPr>
        <w:t>，</w:t>
      </w:r>
      <w:r>
        <w:rPr>
          <w:rFonts w:ascii="Times New Roman" w:hAnsi="Times New Roman" w:eastAsia="仿宋_GB2312"/>
          <w:sz w:val="32"/>
          <w:szCs w:val="32"/>
        </w:rPr>
        <w:t>对纳入国家、省、市重大项目清单的项目，由市级给予30%-60%不等的总量指标保障。在严格实施各项污染防治措施基础上，对单项污染物新增年排放量小于一定数量（二氧化硫、氮氧化物、颗粒物、挥发性有机污染物、化学需氧量小于0.1吨，氨氮、总氮、总磷小于0.01吨）的建设项目，由生态环境部门统筹排污总量指标来源，集中供给，无需企业提交申请。</w:t>
      </w:r>
      <w:r>
        <w:rPr>
          <w:rFonts w:ascii="Times New Roman" w:hAnsi="Times New Roman" w:eastAsia="楷体_GB2312"/>
          <w:sz w:val="32"/>
          <w:szCs w:val="32"/>
        </w:rPr>
        <w:t>（综合处牵头）</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9.推动环评与排污许可协同衔接。</w:t>
      </w:r>
      <w:r>
        <w:rPr>
          <w:rFonts w:ascii="Times New Roman" w:hAnsi="Times New Roman" w:eastAsia="仿宋_GB2312"/>
          <w:sz w:val="32"/>
          <w:szCs w:val="32"/>
        </w:rPr>
        <w:t>对工艺相对单一、环境影响较小、建设周期短的建设项目，在按规定办理环评审批手续后，新增产品品种但生产工艺、主要原辅材料、主要燃料未发生变化、污染物种类和排放量不增加的，不涉及重大变动的，无需办理环评手续。深化排污许可制与环评有机衔接改革试点，充分发挥排污许可的承接功能，探索实施环评与排污许可“审批合一”，将部分排放量很小的污染影响类建设项目不再纳入环评管理，直接纳入排污许可管理。</w:t>
      </w:r>
      <w:r>
        <w:rPr>
          <w:rFonts w:ascii="Times New Roman" w:hAnsi="Times New Roman" w:eastAsia="楷体_GB2312"/>
          <w:sz w:val="32"/>
          <w:szCs w:val="32"/>
        </w:rPr>
        <w:t>（环评处牵头）</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10.推动传统产业焕新。</w:t>
      </w:r>
      <w:r>
        <w:rPr>
          <w:rFonts w:ascii="Times New Roman" w:hAnsi="Times New Roman" w:eastAsia="仿宋_GB2312"/>
          <w:sz w:val="32"/>
          <w:szCs w:val="32"/>
        </w:rPr>
        <w:t>对传统行业装备更新、清洁原料替代以及低效失效污染治理设施的技术改造项目，在不新增污染物排放的情况下，无需重新办理环评。支持新兴产业壮大，指导战略性新兴产业项目落地建设。支持民营经济和专精特新中小企业发展，推动集中喷涂、危废集中收集贮存、工业废水集中处理等“绿岛”项目建设，降低民营和中小微企业治污成本。</w:t>
      </w:r>
      <w:r>
        <w:rPr>
          <w:rFonts w:ascii="Times New Roman" w:hAnsi="Times New Roman" w:eastAsia="楷体_GB2312"/>
          <w:sz w:val="32"/>
          <w:szCs w:val="32"/>
        </w:rPr>
        <w:t>（环评处牵头）</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三、进一步优化环境执法监管  </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11.实行生态环境监督执法正面清单管理。</w:t>
      </w:r>
      <w:r>
        <w:rPr>
          <w:rFonts w:ascii="Times New Roman" w:hAnsi="Times New Roman" w:eastAsia="仿宋_GB2312"/>
          <w:sz w:val="32"/>
          <w:szCs w:val="32"/>
        </w:rPr>
        <w:t>对正面清单企业予以充分信任和支持，发挥示范引领作用，全面推动差异化执法监管。大力拓展非现场监管的手段及应用，将其作为日常执法检查的重要方式。推行视频监控和环保设施用水、用电监控等物联网监管手段，积极利用无人机、无人船、走航车以及卫星遥感等科技手段，充分运用大数据、大模型手段筛查违法问题线索，推动建立大数据采集分析、违法风险监测预警等工作程序，明确启动现场检查的衔接机制。开展苏州市企业环保自查自纠服务平台提质扩容工作，梳理完善企业自查项目，实施“企业自查—发现问题—及时自纠”新模式，系统性规范企业环境管理，帮助企业主动发现并消除环境隐患和违法风险。</w:t>
      </w:r>
      <w:r>
        <w:rPr>
          <w:rFonts w:ascii="Times New Roman" w:hAnsi="Times New Roman" w:eastAsia="楷体_GB2312"/>
          <w:sz w:val="32"/>
          <w:szCs w:val="32"/>
        </w:rPr>
        <w:t>（执法局牵头）</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12.持续规范涉企收费和罚款。</w:t>
      </w:r>
      <w:r>
        <w:rPr>
          <w:rFonts w:ascii="Times New Roman" w:hAnsi="Times New Roman" w:eastAsia="仿宋_GB2312"/>
          <w:sz w:val="32"/>
          <w:szCs w:val="32"/>
        </w:rPr>
        <w:t>定期清理规范生态环境领域涉企收费事项，做好规范经营服务性收费、中介服务费相关工作，推动治理变相收费、低质高价，切实减轻企业经营负担。严禁以生态环境保护名义向企业摊派。坚决贯彻落实《中华人民共和国行政处罚法》以及《生态环境行政处罚办法》等法律法规规章规定，制定并严格依据《苏州市生态环境综合行政执法局办理行政执法案件程序规定》、《苏州市生态环境局重大行政处罚决定法制审核办法》、《苏州市生态环境局重大行政处罚案件集体讨论规定》及《长江三角洲区域生态环境行政处罚裁量规则》等文件规定规范实施生态环境领域行政处罚工作，深入推进生态环境领域严格规范公正文明执法，切实保障当事人合法权益。</w:t>
      </w:r>
      <w:r>
        <w:rPr>
          <w:rFonts w:ascii="Times New Roman" w:hAnsi="Times New Roman" w:eastAsia="楷体_GB2312"/>
          <w:sz w:val="32"/>
          <w:szCs w:val="32"/>
        </w:rPr>
        <w:t>（执法局牵头）</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13.严禁生态环境领域“一刀切”。</w:t>
      </w:r>
      <w:r>
        <w:rPr>
          <w:rFonts w:ascii="Times New Roman" w:hAnsi="Times New Roman" w:eastAsia="仿宋_GB2312"/>
          <w:sz w:val="32"/>
          <w:szCs w:val="32"/>
        </w:rPr>
        <w:t>科学修订《苏州市重污染天气应急预案》，按照《重污染天气重点行业应急减排措施制定技术指南》等要求实施绩效分级差异化管控，科学合理制定重污染天气应急减排清单，明确不同预警等级的应急响应措施，严格按照应急预案启动和解除重污染天气预警。</w:t>
      </w:r>
      <w:r>
        <w:rPr>
          <w:rFonts w:ascii="Times New Roman" w:hAnsi="Times New Roman" w:eastAsia="楷体_GB2312"/>
          <w:sz w:val="32"/>
          <w:szCs w:val="32"/>
        </w:rPr>
        <w:t>（大气处牵头）</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四、加大政策支持</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14.规范环保信用评价。</w:t>
      </w:r>
      <w:r>
        <w:rPr>
          <w:rFonts w:ascii="Times New Roman" w:hAnsi="Times New Roman" w:eastAsia="仿宋_GB2312"/>
          <w:sz w:val="32"/>
          <w:szCs w:val="32"/>
        </w:rPr>
        <w:t>依法依规确定评价对象，落实评价结果适用边界条件。依法不予处罚信息、一定期限之前的生态环境行政处罚决定，不纳入环保信用信息范围。鼓励评价对象实施环保信用承诺制度。全面执行《行政处罚决定书》《环保信用失信记录告知书》《信用修复指引》“三书送达”创新机制，优化信用信息修复方案，帮助失信企业实现失信周期最短化。</w:t>
      </w:r>
      <w:r>
        <w:rPr>
          <w:rFonts w:ascii="Times New Roman" w:hAnsi="Times New Roman" w:eastAsia="楷体_GB2312"/>
          <w:sz w:val="32"/>
          <w:szCs w:val="32"/>
        </w:rPr>
        <w:t>（法规处</w:t>
      </w:r>
      <w:r>
        <w:rPr>
          <w:rFonts w:hint="eastAsia" w:ascii="Times New Roman" w:hAnsi="Times New Roman" w:eastAsia="楷体_GB2312"/>
          <w:sz w:val="32"/>
          <w:szCs w:val="32"/>
        </w:rPr>
        <w:t>牵头</w:t>
      </w:r>
      <w:r>
        <w:rPr>
          <w:rFonts w:ascii="Times New Roman" w:hAnsi="Times New Roman" w:eastAsia="楷体_GB2312"/>
          <w:sz w:val="32"/>
          <w:szCs w:val="32"/>
        </w:rPr>
        <w:t>）</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15.强化财政金融支持。</w:t>
      </w:r>
      <w:r>
        <w:rPr>
          <w:rFonts w:ascii="Times New Roman" w:hAnsi="Times New Roman" w:eastAsia="仿宋_GB2312"/>
          <w:sz w:val="32"/>
          <w:szCs w:val="32"/>
        </w:rPr>
        <w:t>引导将符合条件的民营企业污染治理设施等项目纳入国家、省级生态环境资金项目储备库，同等对待给予财政资金支持。</w:t>
      </w:r>
      <w:r>
        <w:rPr>
          <w:rFonts w:hint="eastAsia" w:ascii="Times New Roman" w:hAnsi="Times New Roman" w:eastAsia="仿宋_GB2312"/>
          <w:sz w:val="32"/>
          <w:szCs w:val="32"/>
        </w:rPr>
        <w:t>发展绿色金融，落实生态环境导向的开发（EOD）等模式创新，鼓励引导相关企业按照《江苏省碳资产质押融资操作指引（暂行）》按需开展碳资产质押融资，解决民营企业污染治理融资难、融资贵问题</w:t>
      </w:r>
      <w:r>
        <w:rPr>
          <w:rFonts w:ascii="Times New Roman" w:hAnsi="Times New Roman" w:eastAsia="仿宋_GB2312"/>
          <w:sz w:val="32"/>
          <w:szCs w:val="32"/>
        </w:rPr>
        <w:t>。（</w:t>
      </w:r>
      <w:r>
        <w:rPr>
          <w:rFonts w:ascii="Times New Roman" w:hAnsi="Times New Roman" w:eastAsia="楷体_GB2312"/>
          <w:sz w:val="32"/>
          <w:szCs w:val="32"/>
        </w:rPr>
        <w:t>财审处牵头，大气处配合）</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16.落实税收优惠政策。</w:t>
      </w:r>
      <w:r>
        <w:rPr>
          <w:rFonts w:ascii="Times New Roman" w:hAnsi="Times New Roman" w:eastAsia="仿宋_GB2312"/>
          <w:sz w:val="32"/>
          <w:szCs w:val="32"/>
        </w:rPr>
        <w:t>落实税务部门《环境保护、节能节水项目企业所得税优惠目录（2021年版）》《资源综合利用企业所得税优惠目录（2021年版）》和《资源综合利用产品和劳务增值税优惠目录（2022年版）》以及延长从事污染防治的第三方企业减按15%的企业所得税优惠政策。对不能准确判定企业从事的项目是否属于优惠目录范围的，会同税务部门及时研究并加以解决。</w:t>
      </w:r>
      <w:r>
        <w:rPr>
          <w:rFonts w:ascii="Times New Roman" w:hAnsi="Times New Roman" w:eastAsia="楷体_GB2312"/>
          <w:sz w:val="32"/>
          <w:szCs w:val="32"/>
        </w:rPr>
        <w:t>（财审处牵头）</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17.支持参与环境权益交易。</w:t>
      </w:r>
      <w:r>
        <w:rPr>
          <w:rFonts w:ascii="Times New Roman" w:hAnsi="Times New Roman" w:eastAsia="仿宋_GB2312"/>
          <w:sz w:val="32"/>
          <w:szCs w:val="32"/>
        </w:rPr>
        <w:t>按照省统一部署配合做好全国温室气体自愿减排交易市场相关工作，鼓励企业按照相关方法学开发温室气体减排项目并积极参与全国碳排放权、全国温室气体自愿减排交易市场交易。鼓励各类企业通过淘汰落后和过剩产能、清洁生产、</w:t>
      </w:r>
      <w:r>
        <w:rPr>
          <w:rFonts w:hint="eastAsia" w:ascii="Times New Roman" w:hAnsi="Times New Roman" w:eastAsia="仿宋_GB2312"/>
          <w:sz w:val="32"/>
          <w:szCs w:val="32"/>
        </w:rPr>
        <w:t>深度</w:t>
      </w:r>
      <w:r>
        <w:rPr>
          <w:rFonts w:ascii="Times New Roman" w:hAnsi="Times New Roman" w:eastAsia="仿宋_GB2312"/>
          <w:sz w:val="32"/>
          <w:szCs w:val="32"/>
        </w:rPr>
        <w:t>治理、技术改造升级等减少污染物排放，形成“富余排污权”，积极参与排污权市场交易。</w:t>
      </w:r>
      <w:r>
        <w:rPr>
          <w:rFonts w:ascii="Times New Roman" w:hAnsi="Times New Roman" w:eastAsia="楷体_GB2312"/>
          <w:sz w:val="32"/>
          <w:szCs w:val="32"/>
        </w:rPr>
        <w:t>（大气处、水处、综合处按职责分工落实）</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18.支持创优和试点示范。</w:t>
      </w:r>
      <w:r>
        <w:rPr>
          <w:rFonts w:ascii="Times New Roman" w:hAnsi="Times New Roman" w:eastAsia="仿宋_GB2312"/>
          <w:sz w:val="32"/>
          <w:szCs w:val="32"/>
        </w:rPr>
        <w:t>按照省统一部署做好重点行业绩效评级工作，加大绩效A级企业培育力度，适时组织行业专家开展业务培训和现场帮扶，指导企业提升环保绩效水平。制定苏州市“无废工厂”“无废园区”建设实施指南，持续开展“无废园区”“无废集团”“无废工厂”建设，形成源头减量、资源化利用和精细管理等方面可复制推广的“无废”治理模式，发挥示范引领作用，复制推广固体废物治理典型案例。</w:t>
      </w:r>
      <w:r>
        <w:rPr>
          <w:rFonts w:ascii="Times New Roman" w:hAnsi="Times New Roman" w:eastAsia="楷体_GB2312"/>
          <w:sz w:val="32"/>
          <w:szCs w:val="32"/>
        </w:rPr>
        <w:t>（大气处、固体处按职责分工落实）</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五、健全保障措施</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19.完善工作机制。</w:t>
      </w:r>
      <w:r>
        <w:rPr>
          <w:rFonts w:ascii="Times New Roman" w:hAnsi="Times New Roman" w:eastAsia="仿宋_GB2312"/>
          <w:sz w:val="32"/>
          <w:szCs w:val="32"/>
        </w:rPr>
        <w:t>健全本地区生态环境部门促进民营经济发展的工作机制，明确抓落实的牵头部门、责任分工和责任人。加强与发改部门、工信部门、工商联等沟通联系，经常走访和听取民营企业意见建议，畅通民营企业投诉举报、反映问题、表达诉求的渠道。对民营企业反映突出的共性生态问题，要加快反应、紧抓快办。建立“问题收集—问题解决—结果反馈—跟踪问效”工作闭环，努力让更多民营企业有感有得。</w:t>
      </w:r>
      <w:r>
        <w:rPr>
          <w:rFonts w:ascii="Times New Roman" w:hAnsi="Times New Roman" w:eastAsia="楷体_GB2312"/>
          <w:sz w:val="32"/>
          <w:szCs w:val="32"/>
        </w:rPr>
        <w:t>（环评处</w:t>
      </w:r>
      <w:r>
        <w:rPr>
          <w:rFonts w:hint="eastAsia" w:ascii="Times New Roman" w:hAnsi="Times New Roman" w:eastAsia="楷体_GB2312"/>
          <w:sz w:val="32"/>
          <w:szCs w:val="32"/>
        </w:rPr>
        <w:t>、</w:t>
      </w:r>
      <w:r>
        <w:rPr>
          <w:rFonts w:ascii="Times New Roman" w:hAnsi="Times New Roman" w:eastAsia="楷体_GB2312"/>
          <w:sz w:val="32"/>
          <w:szCs w:val="32"/>
        </w:rPr>
        <w:t>综合处按职责分工落实）</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20.加强政策指导。</w:t>
      </w:r>
      <w:r>
        <w:rPr>
          <w:rFonts w:ascii="Times New Roman" w:hAnsi="Times New Roman" w:eastAsia="仿宋_GB2312"/>
          <w:sz w:val="32"/>
          <w:szCs w:val="32"/>
        </w:rPr>
        <w:t>生态环境保护法规标准制修订过程中，充分征求社会各界意见，依照国家、省、市有关规定做好合法性审查和公平竞争审查。配合上级生态环境部门开展排放标准等强制性标准的制修订质量管理和宣贯培训。通过培训座谈、现场指导、媒体发布等多种方式，加强生态环境法规、标准等宣传解读和培训，激发企业绿色发展内生动力。</w:t>
      </w:r>
      <w:r>
        <w:rPr>
          <w:rFonts w:ascii="Times New Roman" w:hAnsi="Times New Roman" w:eastAsia="楷体_GB2312"/>
          <w:sz w:val="32"/>
          <w:szCs w:val="32"/>
        </w:rPr>
        <w:t>（法规处牵头）</w:t>
      </w:r>
    </w:p>
    <w:p>
      <w:pPr>
        <w:spacing w:line="58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21.强化宣传推广。</w:t>
      </w:r>
      <w:r>
        <w:rPr>
          <w:rFonts w:ascii="Times New Roman" w:hAnsi="Times New Roman" w:eastAsia="仿宋_GB2312"/>
          <w:sz w:val="32"/>
          <w:szCs w:val="32"/>
        </w:rPr>
        <w:t>加强对民营企业保护生态环境先进典型的挖掘总结，及时梳理生态环境部门特别是基层一线服务民营经济发展的好做法好经验，综合运用新闻发布会、官网、报纸、“双微”等形式，加大宣传推广力度。持续强化舆论引导，营造支持民营企业绿色发展、健康发展的浓厚氛围。</w:t>
      </w:r>
      <w:r>
        <w:rPr>
          <w:rFonts w:ascii="Times New Roman" w:hAnsi="Times New Roman" w:eastAsia="楷体_GB2312"/>
          <w:sz w:val="32"/>
          <w:szCs w:val="32"/>
        </w:rPr>
        <w:t>（宣教</w:t>
      </w:r>
      <w:r>
        <w:rPr>
          <w:rFonts w:hint="eastAsia" w:ascii="Times New Roman" w:hAnsi="Times New Roman" w:eastAsia="楷体_GB2312"/>
          <w:sz w:val="32"/>
          <w:szCs w:val="32"/>
        </w:rPr>
        <w:t>信息处</w:t>
      </w:r>
      <w:r>
        <w:rPr>
          <w:rFonts w:ascii="Times New Roman" w:hAnsi="Times New Roman" w:eastAsia="楷体_GB2312"/>
          <w:sz w:val="32"/>
          <w:szCs w:val="32"/>
        </w:rPr>
        <w:t>牵头）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2908510"/>
      <w:docPartObj>
        <w:docPartGallery w:val="AutoText"/>
      </w:docPartObj>
    </w:sdtPr>
    <w:sdtEndPr>
      <w:rPr>
        <w:rFonts w:asciiTheme="minorEastAsia" w:hAnsiTheme="minorEastAsia" w:eastAsiaTheme="minorEastAsia"/>
        <w:sz w:val="28"/>
        <w:szCs w:val="28"/>
      </w:rPr>
    </w:sdtEndPr>
    <w:sdtContent>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YTAxN2E4ZmIzZDAyNWM1MDVhYTBlY2E0MmNmMzkifQ=="/>
  </w:docVars>
  <w:rsids>
    <w:rsidRoot w:val="00BC6D06"/>
    <w:rsid w:val="00002E0D"/>
    <w:rsid w:val="00036B48"/>
    <w:rsid w:val="00046143"/>
    <w:rsid w:val="00083864"/>
    <w:rsid w:val="00086230"/>
    <w:rsid w:val="000A53EF"/>
    <w:rsid w:val="001117D1"/>
    <w:rsid w:val="001974C6"/>
    <w:rsid w:val="001B3D40"/>
    <w:rsid w:val="001B652C"/>
    <w:rsid w:val="001C437E"/>
    <w:rsid w:val="00315377"/>
    <w:rsid w:val="00334E0C"/>
    <w:rsid w:val="00355115"/>
    <w:rsid w:val="003A048D"/>
    <w:rsid w:val="003B1CE5"/>
    <w:rsid w:val="003F7756"/>
    <w:rsid w:val="00433FFB"/>
    <w:rsid w:val="00441834"/>
    <w:rsid w:val="004753BA"/>
    <w:rsid w:val="004901AD"/>
    <w:rsid w:val="00504236"/>
    <w:rsid w:val="005343E5"/>
    <w:rsid w:val="00580B7C"/>
    <w:rsid w:val="005971D2"/>
    <w:rsid w:val="005A6FD4"/>
    <w:rsid w:val="006020D4"/>
    <w:rsid w:val="0068170F"/>
    <w:rsid w:val="00692DDB"/>
    <w:rsid w:val="006A28A7"/>
    <w:rsid w:val="00765F74"/>
    <w:rsid w:val="00790A84"/>
    <w:rsid w:val="007B652E"/>
    <w:rsid w:val="00836C05"/>
    <w:rsid w:val="00875395"/>
    <w:rsid w:val="008F1D0B"/>
    <w:rsid w:val="009A7CD8"/>
    <w:rsid w:val="00A11C46"/>
    <w:rsid w:val="00A36B59"/>
    <w:rsid w:val="00A46377"/>
    <w:rsid w:val="00A473CD"/>
    <w:rsid w:val="00A9241B"/>
    <w:rsid w:val="00A958C8"/>
    <w:rsid w:val="00AD38F7"/>
    <w:rsid w:val="00AF0AC9"/>
    <w:rsid w:val="00B11999"/>
    <w:rsid w:val="00B265CF"/>
    <w:rsid w:val="00B7340C"/>
    <w:rsid w:val="00B77C20"/>
    <w:rsid w:val="00BC6D06"/>
    <w:rsid w:val="00BE7587"/>
    <w:rsid w:val="00C45EA7"/>
    <w:rsid w:val="00CA2B3C"/>
    <w:rsid w:val="00CC143D"/>
    <w:rsid w:val="00CD3730"/>
    <w:rsid w:val="00DC1567"/>
    <w:rsid w:val="00DF0BCE"/>
    <w:rsid w:val="00E01857"/>
    <w:rsid w:val="00E2764D"/>
    <w:rsid w:val="00EF2629"/>
    <w:rsid w:val="00F518EA"/>
    <w:rsid w:val="00FE781F"/>
    <w:rsid w:val="0EA33545"/>
    <w:rsid w:val="1F1F9A85"/>
    <w:rsid w:val="398E4ACD"/>
    <w:rsid w:val="3DE3C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rFonts w:ascii="Calibri" w:hAnsi="Calibri" w:eastAsia="宋体" w:cs="Times New Roman"/>
      <w:kern w:val="2"/>
      <w:sz w:val="18"/>
      <w:szCs w:val="18"/>
    </w:rPr>
  </w:style>
  <w:style w:type="character" w:customStyle="1" w:styleId="9">
    <w:name w:val="页脚 Char"/>
    <w:basedOn w:val="6"/>
    <w:link w:val="3"/>
    <w:qFormat/>
    <w:uiPriority w:val="99"/>
    <w:rPr>
      <w:rFonts w:ascii="Calibri" w:hAnsi="Calibri" w:eastAsia="宋体" w:cs="Times New Roman"/>
      <w:kern w:val="2"/>
      <w:sz w:val="18"/>
      <w:szCs w:val="18"/>
    </w:r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652</Words>
  <Characters>3722</Characters>
  <Lines>31</Lines>
  <Paragraphs>8</Paragraphs>
  <TotalTime>1590</TotalTime>
  <ScaleCrop>false</ScaleCrop>
  <LinksUpToDate>false</LinksUpToDate>
  <CharactersWithSpaces>4366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2024-10-14T17:00:00Z</dcterms:created>
  <dc:creator>李志刚</dc:creator>
  <cp:lastModifiedBy>lzg</cp:lastModifiedBy>
  <cp:lastPrinted>2024-10-29T10:42:00Z</cp:lastPrinted>
  <dcterms:modified xsi:type="dcterms:W3CDTF">2024-10-30T14:41:49Z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378E4AD6867646A3A9DFB1E904C36F97_13</vt:lpwstr>
  </property>
</Properties>
</file>