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color w:val="auto"/>
          <w:spacing w:val="0"/>
          <w:sz w:val="32"/>
          <w:szCs w:val="32"/>
          <w:lang w:val="en-US" w:eastAsia="zh-CN"/>
        </w:rPr>
      </w:pPr>
      <w:r>
        <w:rPr>
          <w:rFonts w:hint="eastAsia" w:ascii="Times New Roman" w:hAnsi="Times New Roman" w:eastAsia="方正小标宋简体" w:cs="Times New Roman"/>
          <w:color w:val="auto"/>
          <w:spacing w:val="0"/>
          <w:sz w:val="32"/>
          <w:szCs w:val="32"/>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color w:val="auto"/>
          <w:spacing w:val="0"/>
          <w:sz w:val="44"/>
          <w:szCs w:val="44"/>
        </w:rPr>
        <w:t>涉企轻微违法行为</w:t>
      </w:r>
      <w:r>
        <w:rPr>
          <w:rFonts w:hint="eastAsia" w:ascii="Times New Roman" w:hAnsi="Times New Roman" w:eastAsia="方正小标宋简体" w:cs="Times New Roman"/>
          <w:color w:val="auto"/>
          <w:spacing w:val="0"/>
          <w:sz w:val="44"/>
          <w:szCs w:val="44"/>
          <w:lang w:eastAsia="zh-CN"/>
        </w:rPr>
        <w:t>依法</w:t>
      </w:r>
      <w:r>
        <w:rPr>
          <w:rFonts w:hint="default" w:ascii="Times New Roman" w:hAnsi="Times New Roman" w:eastAsia="方正小标宋简体" w:cs="Times New Roman"/>
          <w:color w:val="auto"/>
          <w:spacing w:val="0"/>
          <w:sz w:val="44"/>
          <w:szCs w:val="44"/>
        </w:rPr>
        <w:t>不予行政处罚清单</w:t>
      </w:r>
      <w:r>
        <w:rPr>
          <w:rFonts w:hint="eastAsia" w:ascii="Times New Roman" w:hAnsi="Times New Roman" w:eastAsia="方正小标宋简体" w:cs="Times New Roman"/>
          <w:color w:val="auto"/>
          <w:spacing w:val="0"/>
          <w:sz w:val="44"/>
          <w:szCs w:val="44"/>
          <w:lang w:val="en-US" w:eastAsia="zh-CN"/>
        </w:rPr>
        <w:t>4</w:t>
      </w:r>
      <w:r>
        <w:rPr>
          <w:rFonts w:hint="default" w:ascii="Times New Roman" w:hAnsi="Times New Roman" w:eastAsia="方正小标宋简体" w:cs="Times New Roman"/>
          <w:color w:val="auto"/>
          <w:spacing w:val="0"/>
          <w:sz w:val="44"/>
          <w:szCs w:val="44"/>
          <w:lang w:val="en-US" w:eastAsia="zh-CN"/>
        </w:rPr>
        <w:t>.0版</w:t>
      </w:r>
      <w:r>
        <w:rPr>
          <w:rFonts w:hint="default" w:ascii="Times New Roman" w:hAnsi="Times New Roman" w:eastAsia="方正小标宋简体" w:cs="Times New Roman"/>
          <w:color w:val="auto"/>
          <w:spacing w:val="0"/>
          <w:sz w:val="44"/>
          <w:szCs w:val="44"/>
        </w:rPr>
        <w:t>（</w:t>
      </w:r>
      <w:r>
        <w:rPr>
          <w:rFonts w:hint="eastAsia" w:ascii="Times New Roman" w:hAnsi="Times New Roman" w:eastAsia="方正小标宋简体" w:cs="Times New Roman"/>
          <w:color w:val="auto"/>
          <w:spacing w:val="0"/>
          <w:sz w:val="44"/>
          <w:szCs w:val="44"/>
          <w:lang w:val="en-US" w:eastAsia="zh-CN"/>
        </w:rPr>
        <w:t>10项</w:t>
      </w:r>
      <w:r>
        <w:rPr>
          <w:rFonts w:hint="default" w:ascii="Times New Roman" w:hAnsi="Times New Roman" w:eastAsia="方正小标宋简体" w:cs="Times New Roman"/>
          <w:color w:val="auto"/>
          <w:spacing w:val="0"/>
          <w:sz w:val="44"/>
          <w:szCs w:val="44"/>
        </w:rPr>
        <w:t>）</w:t>
      </w:r>
    </w:p>
    <w:tbl>
      <w:tblPr>
        <w:tblStyle w:val="5"/>
        <w:tblW w:w="117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42"/>
        <w:gridCol w:w="2048"/>
        <w:gridCol w:w="2668"/>
        <w:gridCol w:w="5086"/>
        <w:gridCol w:w="1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42" w:type="dxa"/>
            <w:shd w:val="clear" w:color="auto" w:fill="auto"/>
            <w:noWrap/>
            <w:vAlign w:val="center"/>
          </w:tcPr>
          <w:p>
            <w:pPr>
              <w:overflowPunct w:val="0"/>
              <w:adjustRightInd w:val="0"/>
              <w:snapToGrid w:val="0"/>
              <w:jc w:val="center"/>
              <w:rPr>
                <w:rFonts w:hint="eastAsia" w:ascii="Times New Roman" w:hAnsi="Times New Roman" w:eastAsia="黑体"/>
                <w:color w:val="auto"/>
                <w:spacing w:val="-4"/>
                <w:sz w:val="24"/>
                <w:szCs w:val="24"/>
                <w:highlight w:val="none"/>
              </w:rPr>
            </w:pPr>
            <w:r>
              <w:rPr>
                <w:rFonts w:hint="eastAsia" w:ascii="Times New Roman" w:hAnsi="Times New Roman" w:eastAsia="黑体"/>
                <w:color w:val="auto"/>
                <w:spacing w:val="-4"/>
                <w:sz w:val="24"/>
                <w:szCs w:val="24"/>
                <w:highlight w:val="none"/>
              </w:rPr>
              <w:t>序号</w:t>
            </w:r>
          </w:p>
        </w:tc>
        <w:tc>
          <w:tcPr>
            <w:tcW w:w="2048" w:type="dxa"/>
            <w:shd w:val="clear" w:color="auto" w:fill="auto"/>
            <w:noWrap/>
            <w:vAlign w:val="center"/>
          </w:tcPr>
          <w:p>
            <w:pPr>
              <w:overflowPunct w:val="0"/>
              <w:adjustRightInd w:val="0"/>
              <w:snapToGrid w:val="0"/>
              <w:jc w:val="center"/>
              <w:rPr>
                <w:rFonts w:hint="eastAsia" w:ascii="Times New Roman" w:hAnsi="Times New Roman" w:eastAsia="黑体"/>
                <w:color w:val="auto"/>
                <w:spacing w:val="-4"/>
                <w:sz w:val="24"/>
                <w:szCs w:val="24"/>
                <w:highlight w:val="none"/>
              </w:rPr>
            </w:pPr>
            <w:r>
              <w:rPr>
                <w:rFonts w:hint="eastAsia" w:ascii="Times New Roman" w:hAnsi="Times New Roman" w:eastAsia="黑体"/>
                <w:color w:val="auto"/>
                <w:spacing w:val="-4"/>
                <w:sz w:val="24"/>
                <w:szCs w:val="24"/>
                <w:highlight w:val="none"/>
              </w:rPr>
              <w:t>违法行为</w:t>
            </w:r>
          </w:p>
        </w:tc>
        <w:tc>
          <w:tcPr>
            <w:tcW w:w="2668" w:type="dxa"/>
            <w:shd w:val="clear" w:color="auto" w:fill="auto"/>
            <w:noWrap/>
            <w:vAlign w:val="center"/>
          </w:tcPr>
          <w:p>
            <w:pPr>
              <w:overflowPunct w:val="0"/>
              <w:adjustRightInd w:val="0"/>
              <w:snapToGrid w:val="0"/>
              <w:jc w:val="center"/>
              <w:rPr>
                <w:rFonts w:hint="eastAsia" w:ascii="Times New Roman" w:hAnsi="Times New Roman" w:eastAsia="黑体"/>
                <w:color w:val="auto"/>
                <w:spacing w:val="-4"/>
                <w:sz w:val="24"/>
                <w:szCs w:val="24"/>
                <w:highlight w:val="none"/>
              </w:rPr>
            </w:pPr>
            <w:r>
              <w:rPr>
                <w:rFonts w:hint="eastAsia" w:ascii="Times New Roman" w:hAnsi="Times New Roman" w:eastAsia="黑体"/>
                <w:color w:val="auto"/>
                <w:spacing w:val="-4"/>
                <w:sz w:val="24"/>
                <w:szCs w:val="24"/>
                <w:highlight w:val="none"/>
              </w:rPr>
              <w:t>不予处罚条件</w:t>
            </w:r>
          </w:p>
        </w:tc>
        <w:tc>
          <w:tcPr>
            <w:tcW w:w="5086" w:type="dxa"/>
            <w:shd w:val="clear" w:color="auto" w:fill="auto"/>
            <w:noWrap/>
            <w:vAlign w:val="center"/>
          </w:tcPr>
          <w:p>
            <w:pPr>
              <w:overflowPunct w:val="0"/>
              <w:adjustRightInd w:val="0"/>
              <w:snapToGrid w:val="0"/>
              <w:jc w:val="center"/>
              <w:rPr>
                <w:rFonts w:hint="eastAsia" w:ascii="Times New Roman" w:hAnsi="Times New Roman" w:eastAsia="黑体"/>
                <w:color w:val="auto"/>
                <w:spacing w:val="-4"/>
                <w:sz w:val="24"/>
                <w:szCs w:val="24"/>
                <w:highlight w:val="none"/>
              </w:rPr>
            </w:pPr>
            <w:r>
              <w:rPr>
                <w:rFonts w:hint="eastAsia" w:ascii="Times New Roman" w:hAnsi="Times New Roman" w:eastAsia="黑体"/>
                <w:color w:val="auto"/>
                <w:spacing w:val="-4"/>
                <w:sz w:val="24"/>
                <w:szCs w:val="24"/>
                <w:highlight w:val="none"/>
              </w:rPr>
              <w:t>法 律 依 据</w:t>
            </w:r>
          </w:p>
        </w:tc>
        <w:tc>
          <w:tcPr>
            <w:tcW w:w="1420" w:type="dxa"/>
            <w:shd w:val="clear" w:color="auto" w:fill="auto"/>
            <w:noWrap/>
            <w:vAlign w:val="center"/>
          </w:tcPr>
          <w:p>
            <w:pPr>
              <w:overflowPunct w:val="0"/>
              <w:adjustRightInd w:val="0"/>
              <w:snapToGrid w:val="0"/>
              <w:jc w:val="center"/>
              <w:rPr>
                <w:rFonts w:hint="eastAsia" w:ascii="Times New Roman" w:hAnsi="Times New Roman" w:eastAsia="黑体"/>
                <w:color w:val="auto"/>
                <w:spacing w:val="-4"/>
                <w:sz w:val="24"/>
                <w:szCs w:val="24"/>
                <w:highlight w:val="none"/>
              </w:rPr>
            </w:pPr>
            <w:r>
              <w:rPr>
                <w:rFonts w:hint="eastAsia" w:ascii="Times New Roman" w:hAnsi="Times New Roman" w:eastAsia="黑体"/>
                <w:color w:val="auto"/>
                <w:spacing w:val="-4"/>
                <w:sz w:val="24"/>
                <w:szCs w:val="24"/>
                <w:highlight w:val="none"/>
              </w:rPr>
              <w:t>实施主体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11" w:hRule="atLeast"/>
          <w:jc w:val="center"/>
        </w:trPr>
        <w:tc>
          <w:tcPr>
            <w:tcW w:w="542" w:type="dxa"/>
            <w:noWrap w:val="0"/>
            <w:vAlign w:val="center"/>
          </w:tcPr>
          <w:p>
            <w:pPr>
              <w:overflowPunct w:val="0"/>
              <w:adjustRightInd w:val="0"/>
              <w:snapToGrid w:val="0"/>
              <w:jc w:val="center"/>
              <w:textAlignment w:val="center"/>
              <w:rPr>
                <w:rFonts w:hint="default" w:ascii="Times New Roman" w:hAnsi="Times New Roman" w:cs="Times New Roman"/>
                <w:color w:val="auto"/>
                <w:spacing w:val="-4"/>
                <w:kern w:val="0"/>
                <w:sz w:val="24"/>
                <w:szCs w:val="24"/>
                <w:highlight w:val="none"/>
              </w:rPr>
            </w:pPr>
            <w:r>
              <w:rPr>
                <w:rFonts w:hint="default" w:ascii="Times New Roman" w:hAnsi="Times New Roman" w:cs="Times New Roman"/>
                <w:color w:val="auto"/>
                <w:spacing w:val="-4"/>
                <w:kern w:val="0"/>
                <w:sz w:val="24"/>
                <w:szCs w:val="24"/>
                <w:highlight w:val="none"/>
              </w:rPr>
              <w:t>1</w:t>
            </w:r>
          </w:p>
        </w:tc>
        <w:tc>
          <w:tcPr>
            <w:tcW w:w="204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建设单位未依法报批建设项目环境影响报告书、报告表，或者未按规定重新报批或者报请重新审核环境影响报告书、报告表，擅自开工建设</w:t>
            </w:r>
          </w:p>
        </w:tc>
        <w:tc>
          <w:tcPr>
            <w:tcW w:w="266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未批先建项目处于设备安装阶段，未发现污染后果</w:t>
            </w:r>
            <w:r>
              <w:rPr>
                <w:rFonts w:hint="eastAsia" w:asciiTheme="minorEastAsia" w:hAnsiTheme="minorEastAsia" w:eastAsiaTheme="minorEastAsia" w:cstheme="minorEastAsia"/>
                <w:color w:val="auto"/>
                <w:spacing w:val="-4"/>
                <w:kern w:val="0"/>
                <w:sz w:val="24"/>
                <w:szCs w:val="24"/>
                <w:highlight w:val="none"/>
                <w:lang w:eastAsia="zh-CN"/>
              </w:rPr>
              <w:t>，且</w:t>
            </w:r>
            <w:r>
              <w:rPr>
                <w:rFonts w:hint="eastAsia" w:asciiTheme="minorEastAsia" w:hAnsiTheme="minorEastAsia" w:eastAsiaTheme="minorEastAsia" w:cstheme="minorEastAsia"/>
                <w:color w:val="auto"/>
                <w:spacing w:val="-4"/>
                <w:kern w:val="0"/>
                <w:sz w:val="24"/>
                <w:szCs w:val="24"/>
                <w:highlight w:val="none"/>
              </w:rPr>
              <w:t>停止建设或者恢复原状的</w:t>
            </w:r>
          </w:p>
        </w:tc>
        <w:tc>
          <w:tcPr>
            <w:tcW w:w="5086"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《中华人民共和国环境影响评价法》第三十一条</w:t>
            </w:r>
            <w:r>
              <w:rPr>
                <w:rFonts w:hint="eastAsia" w:asciiTheme="minorEastAsia" w:hAnsiTheme="minorEastAsia" w:eastAsiaTheme="minorEastAsia" w:cstheme="minorEastAsia"/>
                <w:color w:val="auto"/>
                <w:spacing w:val="0"/>
                <w:kern w:val="0"/>
                <w:sz w:val="24"/>
                <w:szCs w:val="24"/>
                <w:highlight w:val="none"/>
                <w:lang w:eastAsia="zh-CN"/>
              </w:rPr>
              <w:t>第一款</w:t>
            </w:r>
            <w:r>
              <w:rPr>
                <w:rFonts w:hint="eastAsia" w:asciiTheme="minorEastAsia" w:hAnsiTheme="minorEastAsia" w:eastAsiaTheme="minorEastAsia" w:cstheme="minorEastAsia"/>
                <w:color w:val="auto"/>
                <w:spacing w:val="-4"/>
                <w:kern w:val="0"/>
                <w:sz w:val="24"/>
                <w:szCs w:val="24"/>
                <w:highlight w:val="none"/>
              </w:rPr>
              <w:t xml:space="preserve">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tc>
        <w:tc>
          <w:tcPr>
            <w:tcW w:w="1420"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苏州市生态环境局</w:t>
            </w:r>
            <w:r>
              <w:rPr>
                <w:rFonts w:hint="eastAsia" w:asciiTheme="minorEastAsia" w:hAnsiTheme="minorEastAsia" w:eastAsiaTheme="minorEastAsia" w:cstheme="minorEastAsia"/>
                <w:color w:val="auto"/>
                <w:spacing w:val="-4"/>
                <w:kern w:val="0"/>
                <w:sz w:val="24"/>
                <w:szCs w:val="24"/>
                <w:highlight w:val="none"/>
                <w:lang w:eastAsia="zh-CN"/>
              </w:rPr>
              <w:t>、</w:t>
            </w:r>
            <w:r>
              <w:rPr>
                <w:rFonts w:hint="eastAsia" w:asciiTheme="minorEastAsia" w:hAnsiTheme="minorEastAsia" w:eastAsiaTheme="minorEastAsia" w:cstheme="minorEastAsia"/>
                <w:color w:val="auto"/>
                <w:spacing w:val="0"/>
                <w:kern w:val="0"/>
                <w:sz w:val="24"/>
                <w:szCs w:val="24"/>
                <w:highlight w:val="none"/>
              </w:rPr>
              <w:t>苏州工业园区生态环境局</w:t>
            </w:r>
            <w:r>
              <w:rPr>
                <w:rFonts w:hint="eastAsia" w:asciiTheme="minorEastAsia" w:hAnsiTheme="minorEastAsia" w:eastAsiaTheme="minorEastAsia" w:cstheme="minorEastAsia"/>
                <w:color w:val="auto"/>
                <w:spacing w:val="-4"/>
                <w:kern w:val="0"/>
                <w:sz w:val="24"/>
                <w:szCs w:val="24"/>
                <w:highlight w:val="none"/>
              </w:rPr>
              <w:t>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542" w:type="dxa"/>
            <w:noWrap w:val="0"/>
            <w:vAlign w:val="center"/>
          </w:tcPr>
          <w:p>
            <w:pPr>
              <w:overflowPunct w:val="0"/>
              <w:adjustRightInd w:val="0"/>
              <w:snapToGrid w:val="0"/>
              <w:jc w:val="center"/>
              <w:textAlignment w:val="center"/>
              <w:rPr>
                <w:rFonts w:hint="eastAsia" w:ascii="Times New Roman" w:hAnsi="Times New Roman" w:eastAsia="宋体" w:cs="Times New Roman"/>
                <w:color w:val="auto"/>
                <w:spacing w:val="-4"/>
                <w:kern w:val="0"/>
                <w:sz w:val="24"/>
                <w:szCs w:val="24"/>
                <w:highlight w:val="none"/>
                <w:lang w:eastAsia="zh-CN"/>
              </w:rPr>
            </w:pPr>
            <w:r>
              <w:rPr>
                <w:rFonts w:hint="eastAsia" w:ascii="Times New Roman" w:hAnsi="Times New Roman" w:cs="Times New Roman"/>
                <w:color w:val="auto"/>
                <w:spacing w:val="-4"/>
                <w:kern w:val="0"/>
                <w:sz w:val="24"/>
                <w:szCs w:val="24"/>
                <w:highlight w:val="none"/>
                <w:lang w:val="en-US" w:eastAsia="zh-CN"/>
              </w:rPr>
              <w:t>2</w:t>
            </w:r>
          </w:p>
        </w:tc>
        <w:tc>
          <w:tcPr>
            <w:tcW w:w="204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建设单位在项目建设过程中未同时组织实施环境影响报告书、环境影响报告表及其审批部门审批决定中提出的环境保护对策措施</w:t>
            </w:r>
          </w:p>
        </w:tc>
        <w:tc>
          <w:tcPr>
            <w:tcW w:w="266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lang w:eastAsia="zh-CN"/>
              </w:rPr>
              <w:t>建设项目未实际产生污染物</w:t>
            </w:r>
            <w:r>
              <w:rPr>
                <w:rFonts w:hint="eastAsia" w:asciiTheme="minorEastAsia" w:hAnsiTheme="minorEastAsia" w:eastAsiaTheme="minorEastAsia" w:cstheme="minorEastAsia"/>
                <w:color w:val="0000FF"/>
                <w:spacing w:val="0"/>
                <w:kern w:val="0"/>
                <w:sz w:val="24"/>
                <w:szCs w:val="24"/>
                <w:highlight w:val="none"/>
                <w:lang w:eastAsia="zh-CN"/>
              </w:rPr>
              <w:t>，</w:t>
            </w:r>
            <w:r>
              <w:rPr>
                <w:rFonts w:hint="eastAsia" w:asciiTheme="minorEastAsia" w:hAnsiTheme="minorEastAsia" w:eastAsiaTheme="minorEastAsia" w:cstheme="minorEastAsia"/>
                <w:color w:val="auto"/>
                <w:spacing w:val="0"/>
                <w:kern w:val="0"/>
                <w:sz w:val="24"/>
                <w:szCs w:val="24"/>
                <w:highlight w:val="none"/>
                <w:lang w:eastAsia="zh-CN"/>
              </w:rPr>
              <w:t>且违法行为在规定期限内改正完毕的</w:t>
            </w:r>
          </w:p>
        </w:tc>
        <w:tc>
          <w:tcPr>
            <w:tcW w:w="5086"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《建设项目环境保护管理条例》第二十二条</w:t>
            </w:r>
            <w:r>
              <w:rPr>
                <w:rFonts w:hint="eastAsia" w:asciiTheme="minorEastAsia" w:hAnsiTheme="minorEastAsia" w:eastAsiaTheme="minorEastAsia" w:cstheme="minorEastAsia"/>
                <w:color w:val="auto"/>
                <w:spacing w:val="0"/>
                <w:kern w:val="0"/>
                <w:sz w:val="24"/>
                <w:szCs w:val="24"/>
                <w:highlight w:val="none"/>
                <w:lang w:eastAsia="zh-CN"/>
              </w:rPr>
              <w:t>第二款</w:t>
            </w:r>
            <w:r>
              <w:rPr>
                <w:rFonts w:hint="eastAsia" w:asciiTheme="minorEastAsia" w:hAnsiTheme="minorEastAsia" w:eastAsiaTheme="minorEastAsia" w:cstheme="minorEastAsia"/>
                <w:color w:val="auto"/>
                <w:spacing w:val="-4"/>
                <w:kern w:val="0"/>
                <w:sz w:val="24"/>
                <w:szCs w:val="24"/>
                <w:highlight w:val="none"/>
              </w:rPr>
              <w:t xml:space="preserve"> 违反本条例规定，建设单位在项目建设过程中未同时组织实施环境影响报告书、环境影响报告表及其审批部门审批决定中提出的环境保护对策措施的，由建设项目所在地县级以上环境保护行政主管部门责令限期改正，处</w:t>
            </w:r>
            <w:r>
              <w:rPr>
                <w:rFonts w:hint="default" w:ascii="Times New Roman" w:hAnsi="Times New Roman" w:cs="Times New Roman" w:eastAsiaTheme="minorEastAsia"/>
                <w:color w:val="auto"/>
                <w:spacing w:val="-4"/>
                <w:kern w:val="0"/>
                <w:sz w:val="24"/>
                <w:szCs w:val="24"/>
                <w:highlight w:val="none"/>
              </w:rPr>
              <w:t>20</w:t>
            </w:r>
            <w:r>
              <w:rPr>
                <w:rFonts w:hint="eastAsia" w:asciiTheme="minorEastAsia" w:hAnsiTheme="minorEastAsia" w:eastAsiaTheme="minorEastAsia" w:cstheme="minorEastAsia"/>
                <w:color w:val="auto"/>
                <w:spacing w:val="-4"/>
                <w:kern w:val="0"/>
                <w:sz w:val="24"/>
                <w:szCs w:val="24"/>
                <w:highlight w:val="none"/>
              </w:rPr>
              <w:t>万元以上</w:t>
            </w:r>
            <w:r>
              <w:rPr>
                <w:rFonts w:hint="default" w:ascii="Times New Roman" w:hAnsi="Times New Roman" w:cs="Times New Roman" w:eastAsiaTheme="minorEastAsia"/>
                <w:color w:val="auto"/>
                <w:spacing w:val="-4"/>
                <w:kern w:val="0"/>
                <w:sz w:val="24"/>
                <w:szCs w:val="24"/>
                <w:highlight w:val="none"/>
              </w:rPr>
              <w:t>100</w:t>
            </w:r>
            <w:r>
              <w:rPr>
                <w:rFonts w:hint="eastAsia" w:asciiTheme="minorEastAsia" w:hAnsiTheme="minorEastAsia" w:eastAsiaTheme="minorEastAsia" w:cstheme="minorEastAsia"/>
                <w:color w:val="auto"/>
                <w:spacing w:val="-4"/>
                <w:kern w:val="0"/>
                <w:sz w:val="24"/>
                <w:szCs w:val="24"/>
                <w:highlight w:val="none"/>
              </w:rPr>
              <w:t>万元以下的罚款；逾期不改正的，责令停止建设。</w:t>
            </w:r>
          </w:p>
        </w:tc>
        <w:tc>
          <w:tcPr>
            <w:tcW w:w="1420"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苏州市生态环境局</w:t>
            </w:r>
            <w:r>
              <w:rPr>
                <w:rFonts w:hint="eastAsia" w:asciiTheme="minorEastAsia" w:hAnsiTheme="minorEastAsia" w:eastAsiaTheme="minorEastAsia" w:cstheme="minorEastAsia"/>
                <w:color w:val="auto"/>
                <w:spacing w:val="-4"/>
                <w:kern w:val="0"/>
                <w:sz w:val="24"/>
                <w:szCs w:val="24"/>
                <w:highlight w:val="none"/>
                <w:lang w:eastAsia="zh-CN"/>
              </w:rPr>
              <w:t>、</w:t>
            </w:r>
            <w:r>
              <w:rPr>
                <w:rFonts w:hint="eastAsia" w:asciiTheme="minorEastAsia" w:hAnsiTheme="minorEastAsia" w:eastAsiaTheme="minorEastAsia" w:cstheme="minorEastAsia"/>
                <w:color w:val="auto"/>
                <w:spacing w:val="0"/>
                <w:kern w:val="0"/>
                <w:sz w:val="24"/>
                <w:szCs w:val="24"/>
                <w:highlight w:val="none"/>
              </w:rPr>
              <w:t>苏州工业园区生态环境局</w:t>
            </w:r>
            <w:r>
              <w:rPr>
                <w:rFonts w:hint="eastAsia" w:asciiTheme="minorEastAsia" w:hAnsiTheme="minorEastAsia" w:eastAsiaTheme="minorEastAsia" w:cstheme="minorEastAsia"/>
                <w:color w:val="auto"/>
                <w:spacing w:val="-4"/>
                <w:kern w:val="0"/>
                <w:sz w:val="24"/>
                <w:szCs w:val="24"/>
                <w:highlight w:val="none"/>
              </w:rPr>
              <w:t>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542" w:type="dxa"/>
            <w:noWrap w:val="0"/>
            <w:vAlign w:val="center"/>
          </w:tcPr>
          <w:p>
            <w:pPr>
              <w:overflowPunct w:val="0"/>
              <w:adjustRightInd w:val="0"/>
              <w:snapToGrid w:val="0"/>
              <w:jc w:val="center"/>
              <w:textAlignment w:val="center"/>
              <w:rPr>
                <w:rFonts w:hint="eastAsia" w:ascii="Times New Roman" w:hAnsi="Times New Roman" w:eastAsia="宋体" w:cs="Times New Roman"/>
                <w:strike w:val="0"/>
                <w:dstrike w:val="0"/>
                <w:color w:val="auto"/>
                <w:spacing w:val="-4"/>
                <w:kern w:val="0"/>
                <w:sz w:val="24"/>
                <w:szCs w:val="24"/>
                <w:highlight w:val="none"/>
                <w:shd w:val="clear" w:color="auto" w:fill="auto"/>
                <w:lang w:eastAsia="zh-CN"/>
              </w:rPr>
            </w:pPr>
            <w:r>
              <w:rPr>
                <w:rFonts w:hint="eastAsia" w:ascii="Times New Roman" w:hAnsi="Times New Roman" w:cs="Times New Roman"/>
                <w:strike w:val="0"/>
                <w:dstrike w:val="0"/>
                <w:color w:val="auto"/>
                <w:spacing w:val="-4"/>
                <w:kern w:val="0"/>
                <w:sz w:val="24"/>
                <w:szCs w:val="24"/>
                <w:highlight w:val="none"/>
                <w:shd w:val="clear" w:color="auto" w:fill="auto"/>
                <w:lang w:val="en-US" w:eastAsia="zh-CN"/>
              </w:rPr>
              <w:t>3</w:t>
            </w:r>
          </w:p>
        </w:tc>
        <w:tc>
          <w:tcPr>
            <w:tcW w:w="204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需要配套建设的环境保护设施未经验收，建设项目即投入生产或者使用</w:t>
            </w:r>
          </w:p>
        </w:tc>
        <w:tc>
          <w:tcPr>
            <w:tcW w:w="266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建设项目已配套建设污染防治设施</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lang w:val="en-US" w:eastAsia="zh-CN"/>
              </w:rPr>
              <w:t>并正常运行，</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且在规定期限内完成验收或主动停产、主动关闭项目、恢复原状的</w:t>
            </w:r>
          </w:p>
        </w:tc>
        <w:tc>
          <w:tcPr>
            <w:tcW w:w="5086"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《建设项目环境保护管理条例》第二十三条</w:t>
            </w:r>
            <w:r>
              <w:rPr>
                <w:rFonts w:hint="eastAsia" w:asciiTheme="minorEastAsia" w:hAnsiTheme="minorEastAsia" w:eastAsiaTheme="minorEastAsia" w:cstheme="minorEastAsia"/>
                <w:strike w:val="0"/>
                <w:dstrike w:val="0"/>
                <w:color w:val="auto"/>
                <w:spacing w:val="0"/>
                <w:kern w:val="0"/>
                <w:sz w:val="24"/>
                <w:szCs w:val="24"/>
                <w:highlight w:val="none"/>
                <w:shd w:val="clear" w:color="auto" w:fill="auto"/>
                <w:lang w:eastAsia="zh-CN"/>
              </w:rPr>
              <w:t>第一款</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 xml:space="preserve"> 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hint="default" w:ascii="Times New Roman" w:hAnsi="Times New Roman" w:cs="Times New Roman" w:eastAsiaTheme="minorEastAsia"/>
                <w:strike w:val="0"/>
                <w:dstrike w:val="0"/>
                <w:color w:val="auto"/>
                <w:spacing w:val="-4"/>
                <w:kern w:val="0"/>
                <w:sz w:val="24"/>
                <w:szCs w:val="24"/>
                <w:highlight w:val="none"/>
                <w:shd w:val="clear" w:color="auto" w:fill="auto"/>
              </w:rPr>
              <w:t>20</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万元以上</w:t>
            </w:r>
            <w:r>
              <w:rPr>
                <w:rFonts w:hint="default" w:ascii="Times New Roman" w:hAnsi="Times New Roman" w:cs="Times New Roman" w:eastAsiaTheme="minorEastAsia"/>
                <w:strike w:val="0"/>
                <w:dstrike w:val="0"/>
                <w:color w:val="auto"/>
                <w:spacing w:val="-4"/>
                <w:kern w:val="0"/>
                <w:sz w:val="24"/>
                <w:szCs w:val="24"/>
                <w:highlight w:val="none"/>
                <w:shd w:val="clear" w:color="auto" w:fill="auto"/>
              </w:rPr>
              <w:t>100</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万元以下的罚款；逾期不改正的，处</w:t>
            </w:r>
            <w:r>
              <w:rPr>
                <w:rFonts w:hint="default" w:ascii="Times New Roman" w:hAnsi="Times New Roman" w:cs="Times New Roman" w:eastAsiaTheme="minorEastAsia"/>
                <w:strike w:val="0"/>
                <w:dstrike w:val="0"/>
                <w:color w:val="auto"/>
                <w:spacing w:val="-4"/>
                <w:kern w:val="0"/>
                <w:sz w:val="24"/>
                <w:szCs w:val="24"/>
                <w:highlight w:val="none"/>
                <w:shd w:val="clear" w:color="auto" w:fill="auto"/>
              </w:rPr>
              <w:t>100</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万元以上</w:t>
            </w:r>
            <w:r>
              <w:rPr>
                <w:rFonts w:hint="default" w:ascii="Times New Roman" w:hAnsi="Times New Roman" w:cs="Times New Roman" w:eastAsiaTheme="minorEastAsia"/>
                <w:strike w:val="0"/>
                <w:dstrike w:val="0"/>
                <w:color w:val="auto"/>
                <w:spacing w:val="-4"/>
                <w:kern w:val="0"/>
                <w:sz w:val="24"/>
                <w:szCs w:val="24"/>
                <w:highlight w:val="none"/>
                <w:shd w:val="clear" w:color="auto" w:fill="auto"/>
              </w:rPr>
              <w:t>200</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万元以下的罚款；对直接负责的主管人员和其他责任人员，处5万元以上</w:t>
            </w:r>
            <w:r>
              <w:rPr>
                <w:rFonts w:hint="default" w:ascii="Times New Roman" w:hAnsi="Times New Roman" w:cs="Times New Roman" w:eastAsiaTheme="minorEastAsia"/>
                <w:strike w:val="0"/>
                <w:dstrike w:val="0"/>
                <w:color w:val="auto"/>
                <w:spacing w:val="-4"/>
                <w:kern w:val="0"/>
                <w:sz w:val="24"/>
                <w:szCs w:val="24"/>
                <w:highlight w:val="none"/>
                <w:shd w:val="clear" w:color="auto" w:fill="auto"/>
              </w:rPr>
              <w:t>20</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万元以下的罚款；造成重大环境污染或者生态破坏的，责令停止生产或者使用，或者报经有批准权的人民政府批准，责令关闭。</w:t>
            </w:r>
          </w:p>
        </w:tc>
        <w:tc>
          <w:tcPr>
            <w:tcW w:w="1420"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苏州市生态环境局</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lang w:eastAsia="zh-CN"/>
              </w:rPr>
              <w:t>、</w:t>
            </w:r>
            <w:r>
              <w:rPr>
                <w:rFonts w:hint="eastAsia" w:asciiTheme="minorEastAsia" w:hAnsiTheme="minorEastAsia" w:eastAsiaTheme="minorEastAsia" w:cstheme="minorEastAsia"/>
                <w:strike w:val="0"/>
                <w:dstrike w:val="0"/>
                <w:color w:val="auto"/>
                <w:spacing w:val="0"/>
                <w:kern w:val="0"/>
                <w:sz w:val="24"/>
                <w:szCs w:val="24"/>
                <w:highlight w:val="none"/>
                <w:shd w:val="clear" w:color="auto" w:fill="auto"/>
              </w:rPr>
              <w:t>苏州工业园区生态环境局</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542" w:type="dxa"/>
            <w:noWrap w:val="0"/>
            <w:vAlign w:val="center"/>
          </w:tcPr>
          <w:p>
            <w:pPr>
              <w:overflowPunct w:val="0"/>
              <w:adjustRightInd w:val="0"/>
              <w:snapToGrid w:val="0"/>
              <w:jc w:val="center"/>
              <w:rPr>
                <w:rFonts w:hint="eastAsia" w:ascii="Times New Roman" w:hAnsi="Times New Roman" w:eastAsia="宋体" w:cs="Times New Roman"/>
                <w:strike/>
                <w:color w:val="auto"/>
                <w:spacing w:val="-4"/>
                <w:kern w:val="0"/>
                <w:sz w:val="24"/>
                <w:szCs w:val="24"/>
                <w:highlight w:val="none"/>
                <w:lang w:eastAsia="zh-CN"/>
              </w:rPr>
            </w:pPr>
            <w:r>
              <w:rPr>
                <w:rFonts w:hint="eastAsia" w:ascii="Times New Roman" w:hAnsi="Times New Roman" w:cs="Times New Roman"/>
                <w:color w:val="auto"/>
                <w:spacing w:val="-4"/>
                <w:kern w:val="0"/>
                <w:sz w:val="24"/>
                <w:szCs w:val="24"/>
                <w:highlight w:val="none"/>
                <w:lang w:val="en-US" w:eastAsia="zh-CN"/>
              </w:rPr>
              <w:t>4</w:t>
            </w:r>
          </w:p>
        </w:tc>
        <w:tc>
          <w:tcPr>
            <w:tcW w:w="204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imes New Roman" w:hAnsi="Times New Roman"/>
                <w:strike w:val="0"/>
                <w:dstrike w:val="0"/>
                <w:color w:val="auto"/>
                <w:spacing w:val="-4"/>
                <w:kern w:val="0"/>
                <w:sz w:val="24"/>
                <w:szCs w:val="24"/>
                <w:highlight w:val="none"/>
                <w:lang w:val="en-US" w:eastAsia="zh-CN"/>
              </w:rPr>
            </w:pPr>
            <w:r>
              <w:rPr>
                <w:rFonts w:hint="eastAsia" w:ascii="Times New Roman" w:hAnsi="Times New Roman"/>
                <w:strike w:val="0"/>
                <w:dstrike w:val="0"/>
                <w:color w:val="auto"/>
                <w:spacing w:val="-4"/>
                <w:kern w:val="0"/>
                <w:sz w:val="24"/>
                <w:szCs w:val="24"/>
                <w:highlight w:val="none"/>
                <w:lang w:val="en-US" w:eastAsia="zh-CN"/>
              </w:rPr>
              <w:t>未按照国家环境保护标准贮存危险废物</w:t>
            </w:r>
          </w:p>
        </w:tc>
        <w:tc>
          <w:tcPr>
            <w:tcW w:w="266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default" w:ascii="Times New Roman" w:hAnsi="Times New Roman"/>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lang w:val="en-US" w:eastAsia="zh-CN"/>
              </w:rPr>
              <w:t>不规范贮存危险废物数量小于0.1吨（包括0.1吨），未发现污染后果，且违法行为在规定期</w:t>
            </w:r>
            <w:r>
              <w:rPr>
                <w:rFonts w:hint="eastAsia" w:ascii="Times New Roman" w:hAnsi="Times New Roman"/>
                <w:strike w:val="0"/>
                <w:dstrike w:val="0"/>
                <w:color w:val="auto"/>
                <w:spacing w:val="-4"/>
                <w:kern w:val="0"/>
                <w:sz w:val="24"/>
                <w:szCs w:val="24"/>
                <w:highlight w:val="none"/>
                <w:lang w:val="en-US" w:eastAsia="zh-CN"/>
              </w:rPr>
              <w:t>限内改正完毕的</w:t>
            </w:r>
          </w:p>
        </w:tc>
        <w:tc>
          <w:tcPr>
            <w:tcW w:w="5086"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《中华人民共和国固体废物污染环境防治法》第一百一十二条 违反本法规定，有下列行为之一，由生态环境主管部门责令改正，处以罚款，没收违法所得；情节严重的，报经有批准权的人民政府批准，可以责令停业或者关闭：（六）未按照国家环境保护标准贮存、利用、处置危险废物或者将危险废物混入非危险废物中贮存的；</w:t>
            </w:r>
          </w:p>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Theme="minorEastAsia" w:hAnsiTheme="minorEastAsia" w:eastAsiaTheme="minorEastAsia" w:cstheme="minorEastAsia"/>
                <w:color w:val="auto"/>
                <w:spacing w:val="-4"/>
                <w:kern w:val="0"/>
                <w:sz w:val="24"/>
                <w:szCs w:val="24"/>
                <w:highlight w:val="none"/>
              </w:rPr>
              <w:t>有前款第一项、第二项、第五项、第六项、第七项、第八项、第九项、第十二项、第十三项行为之一，处十万元以上一百万元以下的罚款</w:t>
            </w:r>
            <w:r>
              <w:rPr>
                <w:rFonts w:hint="eastAsia" w:asciiTheme="minorEastAsia" w:hAnsiTheme="minorEastAsia" w:eastAsiaTheme="minorEastAsia" w:cstheme="minorEastAsia"/>
                <w:color w:val="auto"/>
                <w:spacing w:val="-4"/>
                <w:kern w:val="0"/>
                <w:sz w:val="24"/>
                <w:szCs w:val="24"/>
                <w:highlight w:val="none"/>
                <w:lang w:eastAsia="zh-CN"/>
              </w:rPr>
              <w:t>。</w:t>
            </w:r>
          </w:p>
        </w:tc>
        <w:tc>
          <w:tcPr>
            <w:tcW w:w="1420" w:type="dxa"/>
            <w:noWrap w:val="0"/>
            <w:vAlign w:val="center"/>
          </w:tcPr>
          <w:p>
            <w:pPr>
              <w:keepNext w:val="0"/>
              <w:keepLines w:val="0"/>
              <w:pageBreakBefore w:val="0"/>
              <w:widowControl w:val="0"/>
              <w:kinsoku/>
              <w:wordWrap/>
              <w:overflowPunct w:val="0"/>
              <w:topLinePunct w:val="0"/>
              <w:autoSpaceDE/>
              <w:autoSpaceDN/>
              <w:bidi w:val="0"/>
              <w:adjustRightInd w:val="0"/>
              <w:snapToGrid w:val="0"/>
              <w:rPr>
                <w:rFonts w:hint="eastAsia" w:asciiTheme="minorEastAsia" w:hAnsiTheme="minorEastAsia" w:eastAsiaTheme="minorEastAsia" w:cstheme="minorEastAsia"/>
                <w:strike/>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苏州市生态环境局</w:t>
            </w:r>
            <w:r>
              <w:rPr>
                <w:rFonts w:hint="eastAsia" w:asciiTheme="minorEastAsia" w:hAnsiTheme="minorEastAsia" w:eastAsiaTheme="minorEastAsia" w:cstheme="minorEastAsia"/>
                <w:color w:val="auto"/>
                <w:spacing w:val="-4"/>
                <w:kern w:val="0"/>
                <w:sz w:val="24"/>
                <w:szCs w:val="24"/>
                <w:highlight w:val="none"/>
                <w:lang w:eastAsia="zh-CN"/>
              </w:rPr>
              <w:t>、</w:t>
            </w:r>
            <w:r>
              <w:rPr>
                <w:rFonts w:hint="eastAsia" w:asciiTheme="minorEastAsia" w:hAnsiTheme="minorEastAsia" w:eastAsiaTheme="minorEastAsia" w:cstheme="minorEastAsia"/>
                <w:color w:val="auto"/>
                <w:spacing w:val="0"/>
                <w:kern w:val="0"/>
                <w:sz w:val="24"/>
                <w:szCs w:val="24"/>
                <w:highlight w:val="none"/>
              </w:rPr>
              <w:t>苏州工业园区生态环境局</w:t>
            </w:r>
            <w:r>
              <w:rPr>
                <w:rFonts w:hint="eastAsia" w:asciiTheme="minorEastAsia" w:hAnsiTheme="minorEastAsia" w:eastAsiaTheme="minorEastAsia" w:cstheme="minorEastAsia"/>
                <w:color w:val="auto"/>
                <w:spacing w:val="-4"/>
                <w:kern w:val="0"/>
                <w:sz w:val="24"/>
                <w:szCs w:val="24"/>
                <w:highlight w:val="none"/>
              </w:rPr>
              <w:t>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42" w:type="dxa"/>
            <w:noWrap w:val="0"/>
            <w:vAlign w:val="center"/>
          </w:tcPr>
          <w:p>
            <w:pPr>
              <w:overflowPunct w:val="0"/>
              <w:adjustRightInd w:val="0"/>
              <w:snapToGrid w:val="0"/>
              <w:jc w:val="center"/>
              <w:textAlignment w:val="center"/>
              <w:rPr>
                <w:rFonts w:hint="eastAsia" w:ascii="Times New Roman" w:hAnsi="Times New Roman" w:eastAsia="宋体" w:cs="Times New Roman"/>
                <w:color w:val="auto"/>
                <w:spacing w:val="-4"/>
                <w:kern w:val="0"/>
                <w:sz w:val="24"/>
                <w:szCs w:val="24"/>
                <w:highlight w:val="none"/>
                <w:lang w:eastAsia="zh-CN"/>
              </w:rPr>
            </w:pPr>
            <w:r>
              <w:rPr>
                <w:rFonts w:hint="eastAsia" w:ascii="Times New Roman" w:hAnsi="Times New Roman" w:cs="Times New Roman"/>
                <w:color w:val="auto"/>
                <w:spacing w:val="-4"/>
                <w:kern w:val="0"/>
                <w:sz w:val="24"/>
                <w:szCs w:val="24"/>
                <w:highlight w:val="none"/>
                <w:lang w:val="en-US" w:eastAsia="zh-CN"/>
              </w:rPr>
              <w:t>5</w:t>
            </w:r>
          </w:p>
        </w:tc>
        <w:tc>
          <w:tcPr>
            <w:tcW w:w="2048"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超过污染物排放标准</w:t>
            </w:r>
            <w:r>
              <w:rPr>
                <w:rFonts w:hint="eastAsia" w:asciiTheme="minorEastAsia" w:hAnsiTheme="minorEastAsia" w:eastAsiaTheme="minorEastAsia" w:cstheme="minorEastAsia"/>
                <w:color w:val="auto"/>
                <w:spacing w:val="-4"/>
                <w:kern w:val="0"/>
                <w:sz w:val="24"/>
                <w:szCs w:val="24"/>
                <w:highlight w:val="none"/>
                <w:lang w:val="en-US" w:eastAsia="zh-CN"/>
              </w:rPr>
              <w:t>或排污许可证许可排放浓度</w:t>
            </w:r>
            <w:r>
              <w:rPr>
                <w:rFonts w:hint="eastAsia" w:asciiTheme="minorEastAsia" w:hAnsiTheme="minorEastAsia" w:eastAsiaTheme="minorEastAsia" w:cstheme="minorEastAsia"/>
                <w:color w:val="auto"/>
                <w:spacing w:val="-4"/>
                <w:kern w:val="0"/>
                <w:sz w:val="24"/>
                <w:szCs w:val="24"/>
                <w:highlight w:val="none"/>
              </w:rPr>
              <w:t>排放污染物</w:t>
            </w:r>
          </w:p>
        </w:tc>
        <w:tc>
          <w:tcPr>
            <w:tcW w:w="2668"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除第一类污染物、《最高人民法院最高人民检察院关于办理环境污染刑事案件适用法律若干问题的解释》所涉及《关于持久性有机污染物的斯德哥尔摩公约》附件所列物质、含重金属的污染物及列入《有毒有害水污染物名录》的污染物之外，超标排放水污染物（不含色度）仅有一项污染物超过规定排放标准</w:t>
            </w:r>
            <w:r>
              <w:rPr>
                <w:rFonts w:hint="eastAsia" w:asciiTheme="minorEastAsia" w:hAnsiTheme="minorEastAsia" w:eastAsiaTheme="minorEastAsia" w:cstheme="minorEastAsia"/>
                <w:color w:val="auto"/>
                <w:spacing w:val="-4"/>
                <w:kern w:val="0"/>
                <w:sz w:val="24"/>
                <w:szCs w:val="24"/>
                <w:highlight w:val="none"/>
                <w:lang w:val="en-US" w:eastAsia="zh-CN"/>
              </w:rPr>
              <w:t>或排污许可证许可排放浓度</w:t>
            </w:r>
            <w:r>
              <w:rPr>
                <w:rFonts w:hint="eastAsia" w:asciiTheme="minorEastAsia" w:hAnsiTheme="minorEastAsia" w:eastAsiaTheme="minorEastAsia" w:cstheme="minorEastAsia"/>
                <w:color w:val="auto"/>
                <w:spacing w:val="-4"/>
                <w:kern w:val="0"/>
                <w:sz w:val="24"/>
                <w:szCs w:val="24"/>
                <w:highlight w:val="none"/>
              </w:rPr>
              <w:t>且超标幅度不超过</w:t>
            </w:r>
            <w:r>
              <w:rPr>
                <w:rFonts w:hint="default" w:asciiTheme="minorEastAsia" w:hAnsiTheme="minorEastAsia" w:eastAsiaTheme="minorEastAsia" w:cstheme="minorEastAsia"/>
                <w:color w:val="auto"/>
                <w:spacing w:val="-4"/>
                <w:kern w:val="0"/>
                <w:sz w:val="24"/>
                <w:szCs w:val="24"/>
                <w:highlight w:val="none"/>
              </w:rPr>
              <w:t>10</w:t>
            </w:r>
            <w:r>
              <w:rPr>
                <w:rFonts w:hint="eastAsia" w:asciiTheme="minorEastAsia" w:hAnsiTheme="minorEastAsia" w:eastAsiaTheme="minorEastAsia" w:cstheme="minorEastAsia"/>
                <w:color w:val="auto"/>
                <w:spacing w:val="-4"/>
                <w:kern w:val="0"/>
                <w:sz w:val="24"/>
                <w:szCs w:val="24"/>
                <w:highlight w:val="none"/>
              </w:rPr>
              <w:t>%（包括</w:t>
            </w:r>
            <w:r>
              <w:rPr>
                <w:rFonts w:hint="default" w:asciiTheme="minorEastAsia" w:hAnsiTheme="minorEastAsia" w:eastAsiaTheme="minorEastAsia" w:cstheme="minorEastAsia"/>
                <w:color w:val="auto"/>
                <w:spacing w:val="-4"/>
                <w:kern w:val="0"/>
                <w:sz w:val="24"/>
                <w:szCs w:val="24"/>
                <w:highlight w:val="none"/>
              </w:rPr>
              <w:t>10</w:t>
            </w:r>
            <w:r>
              <w:rPr>
                <w:rFonts w:hint="eastAsia" w:asciiTheme="minorEastAsia" w:hAnsiTheme="minorEastAsia" w:eastAsiaTheme="minorEastAsia" w:cstheme="minorEastAsia"/>
                <w:color w:val="auto"/>
                <w:spacing w:val="-4"/>
                <w:kern w:val="0"/>
                <w:sz w:val="24"/>
                <w:szCs w:val="24"/>
                <w:highlight w:val="none"/>
              </w:rPr>
              <w:t>%）、超标幅度在±</w:t>
            </w:r>
            <w:r>
              <w:rPr>
                <w:rFonts w:hint="default" w:asciiTheme="minorEastAsia" w:hAnsiTheme="minorEastAsia" w:eastAsiaTheme="minorEastAsia" w:cstheme="minorEastAsia"/>
                <w:color w:val="auto"/>
                <w:spacing w:val="-4"/>
                <w:kern w:val="0"/>
                <w:sz w:val="24"/>
                <w:szCs w:val="24"/>
                <w:highlight w:val="none"/>
              </w:rPr>
              <w:t>0.5</w:t>
            </w:r>
            <w:r>
              <w:rPr>
                <w:rFonts w:hint="eastAsia" w:asciiTheme="minorEastAsia" w:hAnsiTheme="minorEastAsia" w:eastAsiaTheme="minorEastAsia" w:cstheme="minorEastAsia"/>
                <w:color w:val="auto"/>
                <w:spacing w:val="-4"/>
                <w:kern w:val="0"/>
                <w:sz w:val="24"/>
                <w:szCs w:val="24"/>
                <w:highlight w:val="none"/>
              </w:rPr>
              <w:t>pH以内（包括</w:t>
            </w:r>
            <w:r>
              <w:rPr>
                <w:rFonts w:hint="default" w:asciiTheme="minorEastAsia" w:hAnsiTheme="minorEastAsia" w:eastAsiaTheme="minorEastAsia" w:cstheme="minorEastAsia"/>
                <w:color w:val="auto"/>
                <w:spacing w:val="-4"/>
                <w:kern w:val="0"/>
                <w:sz w:val="24"/>
                <w:szCs w:val="24"/>
                <w:highlight w:val="none"/>
              </w:rPr>
              <w:t>0.5</w:t>
            </w:r>
            <w:r>
              <w:rPr>
                <w:rFonts w:hint="eastAsia" w:asciiTheme="minorEastAsia" w:hAnsiTheme="minorEastAsia" w:eastAsiaTheme="minorEastAsia" w:cstheme="minorEastAsia"/>
                <w:color w:val="auto"/>
                <w:spacing w:val="-4"/>
                <w:kern w:val="0"/>
                <w:sz w:val="24"/>
                <w:szCs w:val="24"/>
                <w:highlight w:val="none"/>
              </w:rPr>
              <w:t>pH），违法行为在规定期限内改正完毕的</w:t>
            </w:r>
          </w:p>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lang w:val="en-US" w:eastAsia="zh-CN"/>
              </w:rPr>
              <w:t>噪声排放超过排污许可证记载的工业噪声许可排放限值在1分贝以内（包括1分贝），</w:t>
            </w:r>
            <w:r>
              <w:rPr>
                <w:rFonts w:hint="eastAsia" w:asciiTheme="minorEastAsia" w:hAnsiTheme="minorEastAsia" w:eastAsiaTheme="minorEastAsia" w:cstheme="minorEastAsia"/>
                <w:color w:val="auto"/>
                <w:spacing w:val="-4"/>
                <w:kern w:val="0"/>
                <w:sz w:val="24"/>
                <w:szCs w:val="24"/>
                <w:highlight w:val="none"/>
              </w:rPr>
              <w:t>违法行为在规定期限内改正完毕的</w:t>
            </w:r>
          </w:p>
        </w:tc>
        <w:tc>
          <w:tcPr>
            <w:tcW w:w="508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strike/>
                <w:dstrike w:val="0"/>
                <w:color w:val="auto"/>
                <w:spacing w:val="-4"/>
                <w:kern w:val="0"/>
                <w:sz w:val="24"/>
                <w:szCs w:val="24"/>
                <w:highlight w:val="none"/>
                <w:shd w:val="clear" w:color="FFFFFF" w:fill="D9D9D9"/>
                <w:lang w:val="en-US" w:eastAsia="zh-CN"/>
              </w:rPr>
            </w:pPr>
            <w:r>
              <w:rPr>
                <w:rFonts w:hint="eastAsia" w:asciiTheme="minorEastAsia" w:hAnsiTheme="minorEastAsia" w:eastAsiaTheme="minorEastAsia" w:cstheme="minorEastAsia"/>
                <w:color w:val="auto"/>
                <w:spacing w:val="-4"/>
                <w:kern w:val="0"/>
                <w:sz w:val="24"/>
                <w:szCs w:val="24"/>
                <w:highlight w:val="none"/>
              </w:rPr>
              <w:t>《中华人民共和国水污染防治法》第八十三条 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《排污许可管理条例》第三十四条　违反本条例规定，排污单位有下列行为之一的，由生态环境主管部门责令改正或者限制生产、停产整治，处</w:t>
            </w:r>
            <w:r>
              <w:rPr>
                <w:rFonts w:hint="default" w:asciiTheme="minorEastAsia" w:hAnsiTheme="minorEastAsia" w:eastAsiaTheme="minorEastAsia" w:cstheme="minorEastAsia"/>
                <w:color w:val="auto"/>
                <w:spacing w:val="-4"/>
                <w:kern w:val="0"/>
                <w:sz w:val="24"/>
                <w:szCs w:val="24"/>
                <w:highlight w:val="none"/>
                <w:lang w:val="en-US" w:eastAsia="zh-CN"/>
              </w:rPr>
              <w:t>20</w:t>
            </w:r>
            <w:r>
              <w:rPr>
                <w:rFonts w:hint="eastAsia" w:asciiTheme="minorEastAsia" w:hAnsiTheme="minorEastAsia" w:eastAsiaTheme="minorEastAsia" w:cstheme="minorEastAsia"/>
                <w:color w:val="auto"/>
                <w:spacing w:val="-4"/>
                <w:kern w:val="0"/>
                <w:sz w:val="24"/>
                <w:szCs w:val="24"/>
                <w:highlight w:val="none"/>
                <w:lang w:val="en-US" w:eastAsia="zh-CN"/>
              </w:rPr>
              <w:t>万元以上</w:t>
            </w:r>
            <w:r>
              <w:rPr>
                <w:rFonts w:hint="default" w:asciiTheme="minorEastAsia" w:hAnsiTheme="minorEastAsia" w:eastAsiaTheme="minorEastAsia" w:cstheme="minorEastAsia"/>
                <w:color w:val="auto"/>
                <w:spacing w:val="-4"/>
                <w:kern w:val="0"/>
                <w:sz w:val="24"/>
                <w:szCs w:val="24"/>
                <w:highlight w:val="none"/>
                <w:lang w:val="en-US" w:eastAsia="zh-CN"/>
              </w:rPr>
              <w:t>100</w:t>
            </w:r>
            <w:r>
              <w:rPr>
                <w:rFonts w:hint="eastAsia" w:asciiTheme="minorEastAsia" w:hAnsiTheme="minorEastAsia" w:eastAsiaTheme="minorEastAsia" w:cstheme="minorEastAsia"/>
                <w:color w:val="auto"/>
                <w:spacing w:val="-4"/>
                <w:kern w:val="0"/>
                <w:sz w:val="24"/>
                <w:szCs w:val="24"/>
                <w:highlight w:val="none"/>
                <w:lang w:val="en-US" w:eastAsia="zh-CN"/>
              </w:rPr>
              <w:t>万元以下的罚款；情节严重的，吊销排污许可证，报经有批准权的人民政府批准，责令停业、关闭：（一）超过许可排放浓度、许可排放量排放污染物。</w:t>
            </w:r>
          </w:p>
        </w:tc>
        <w:tc>
          <w:tcPr>
            <w:tcW w:w="142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苏州市生态环境局</w:t>
            </w:r>
            <w:r>
              <w:rPr>
                <w:rFonts w:hint="eastAsia" w:asciiTheme="minorEastAsia" w:hAnsiTheme="minorEastAsia" w:eastAsiaTheme="minorEastAsia" w:cstheme="minorEastAsia"/>
                <w:color w:val="auto"/>
                <w:spacing w:val="-4"/>
                <w:kern w:val="0"/>
                <w:sz w:val="24"/>
                <w:szCs w:val="24"/>
                <w:highlight w:val="none"/>
                <w:lang w:eastAsia="zh-CN"/>
              </w:rPr>
              <w:t>、</w:t>
            </w:r>
            <w:r>
              <w:rPr>
                <w:rFonts w:hint="eastAsia" w:asciiTheme="minorEastAsia" w:hAnsiTheme="minorEastAsia" w:eastAsiaTheme="minorEastAsia" w:cstheme="minorEastAsia"/>
                <w:color w:val="auto"/>
                <w:spacing w:val="-4"/>
                <w:kern w:val="0"/>
                <w:sz w:val="24"/>
                <w:szCs w:val="24"/>
                <w:highlight w:val="none"/>
              </w:rPr>
              <w:t>苏州工业园区生态环境局及其他行使相关行政处罚权的机构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9" w:hRule="atLeast"/>
          <w:jc w:val="center"/>
        </w:trPr>
        <w:tc>
          <w:tcPr>
            <w:tcW w:w="542" w:type="dxa"/>
            <w:noWrap w:val="0"/>
            <w:vAlign w:val="center"/>
          </w:tcPr>
          <w:p>
            <w:pPr>
              <w:overflowPunct w:val="0"/>
              <w:adjustRightInd w:val="0"/>
              <w:snapToGrid w:val="0"/>
              <w:jc w:val="center"/>
              <w:textAlignment w:val="center"/>
              <w:rPr>
                <w:rFonts w:hint="default" w:ascii="Times New Roman" w:hAnsi="Times New Roman" w:eastAsia="仿宋_GB2312" w:cs="Times New Roman"/>
                <w:color w:val="auto"/>
                <w:spacing w:val="-4"/>
                <w:kern w:val="0"/>
                <w:sz w:val="24"/>
                <w:szCs w:val="24"/>
                <w:highlight w:val="none"/>
                <w:lang w:val="en-US" w:eastAsia="zh-CN"/>
              </w:rPr>
            </w:pPr>
            <w:r>
              <w:rPr>
                <w:rFonts w:hint="eastAsia" w:ascii="Times New Roman" w:hAnsi="Times New Roman" w:cs="Times New Roman"/>
                <w:strike w:val="0"/>
                <w:dstrike w:val="0"/>
                <w:color w:val="auto"/>
                <w:spacing w:val="-4"/>
                <w:kern w:val="0"/>
                <w:sz w:val="24"/>
                <w:szCs w:val="24"/>
                <w:highlight w:val="none"/>
                <w:lang w:val="en-US" w:eastAsia="zh-CN"/>
              </w:rPr>
              <w:t>6</w:t>
            </w:r>
          </w:p>
        </w:tc>
        <w:tc>
          <w:tcPr>
            <w:tcW w:w="2048"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未按照规定对污染物进行监测并保存原始监测记录</w:t>
            </w:r>
          </w:p>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p>
        </w:tc>
        <w:tc>
          <w:tcPr>
            <w:tcW w:w="2668"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排污单位未严格按照排污许可证规定的污染物种类和监测频次开展自行监测，且报告或上传数据缺失监测数据的比例3%以下的</w:t>
            </w:r>
          </w:p>
        </w:tc>
        <w:tc>
          <w:tcPr>
            <w:tcW w:w="508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《中华人民共和国大气污染防治法》第一百条 违反本法规定，有下列行为之一的，由县级以上人民政府生态环境主管部门责令改正，处二万元以上二十万元以下的罚款；拒不改正的，责令停产整治：（二）未按照规定对所排放的工业废气和有毒有害大气污染物进行监测并保存原始监测记录的。</w:t>
            </w:r>
          </w:p>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《中华人民共和国水污染防治法》第八十二条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w:t>
            </w:r>
          </w:p>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《中华人民共和国噪声污染防治法》第七十六条 违反本法规定，有下列行为之一，由生态环境主管部门责令改正，处二万元以上二十万元以下的罚款；拒不改正的，责令限制生产、停产整治：（一）实行排污许可管理的单位未按照规定对工业噪声开展自行监测，未保存原始监测记录，或者未向社会公开监测结果的；</w:t>
            </w:r>
          </w:p>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《排污许可管理条例》第三十六条　违反本条例规定，排污单位有下列行为之一的，由生态环境主管部门责令改正，处</w:t>
            </w:r>
            <w:r>
              <w:rPr>
                <w:rFonts w:hint="default" w:asciiTheme="minorEastAsia" w:hAnsiTheme="minorEastAsia" w:eastAsiaTheme="minorEastAsia" w:cstheme="minorEastAsia"/>
                <w:color w:val="auto"/>
                <w:spacing w:val="-4"/>
                <w:kern w:val="0"/>
                <w:sz w:val="24"/>
                <w:szCs w:val="24"/>
                <w:highlight w:val="none"/>
                <w:lang w:val="en-US" w:eastAsia="zh-CN"/>
              </w:rPr>
              <w:t>2</w:t>
            </w:r>
            <w:r>
              <w:rPr>
                <w:rFonts w:hint="eastAsia" w:asciiTheme="minorEastAsia" w:hAnsiTheme="minorEastAsia" w:eastAsiaTheme="minorEastAsia" w:cstheme="minorEastAsia"/>
                <w:color w:val="auto"/>
                <w:spacing w:val="-4"/>
                <w:kern w:val="0"/>
                <w:sz w:val="24"/>
                <w:szCs w:val="24"/>
                <w:highlight w:val="none"/>
                <w:lang w:val="en-US" w:eastAsia="zh-CN"/>
              </w:rPr>
              <w:t>万元以上</w:t>
            </w:r>
            <w:r>
              <w:rPr>
                <w:rFonts w:hint="default" w:asciiTheme="minorEastAsia" w:hAnsiTheme="minorEastAsia" w:eastAsiaTheme="minorEastAsia" w:cstheme="minorEastAsia"/>
                <w:color w:val="auto"/>
                <w:spacing w:val="-4"/>
                <w:kern w:val="0"/>
                <w:sz w:val="24"/>
                <w:szCs w:val="24"/>
                <w:highlight w:val="none"/>
                <w:lang w:val="en-US" w:eastAsia="zh-CN"/>
              </w:rPr>
              <w:t>20</w:t>
            </w:r>
            <w:r>
              <w:rPr>
                <w:rFonts w:hint="eastAsia" w:asciiTheme="minorEastAsia" w:hAnsiTheme="minorEastAsia" w:eastAsiaTheme="minorEastAsia" w:cstheme="minorEastAsia"/>
                <w:color w:val="auto"/>
                <w:spacing w:val="-4"/>
                <w:kern w:val="0"/>
                <w:sz w:val="24"/>
                <w:szCs w:val="24"/>
                <w:highlight w:val="none"/>
                <w:lang w:val="en-US" w:eastAsia="zh-CN"/>
              </w:rPr>
              <w:t>万元以下的罚款；拒不改正的，责令停产整治：（五）未按照排污许可证规定制定自行监测方案并开展自行监测(六)未按照排污许可证规定保存原始监测记录。</w:t>
            </w:r>
          </w:p>
        </w:tc>
        <w:tc>
          <w:tcPr>
            <w:tcW w:w="142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textAlignment w:val="center"/>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Theme="minorEastAsia" w:hAnsiTheme="minorEastAsia" w:eastAsiaTheme="minorEastAsia" w:cstheme="minorEastAsia"/>
                <w:color w:val="auto"/>
                <w:spacing w:val="-4"/>
                <w:kern w:val="0"/>
                <w:sz w:val="24"/>
                <w:szCs w:val="24"/>
                <w:highlight w:val="none"/>
                <w:lang w:val="en-US" w:eastAsia="zh-CN"/>
              </w:rPr>
              <w:t>苏州市生态环境局、苏州工业园区生态环境局及其他行使相关行政处罚权的机构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542" w:type="dxa"/>
            <w:noWrap w:val="0"/>
            <w:vAlign w:val="center"/>
          </w:tcPr>
          <w:p>
            <w:pPr>
              <w:overflowPunct w:val="0"/>
              <w:adjustRightInd w:val="0"/>
              <w:snapToGrid w:val="0"/>
              <w:jc w:val="center"/>
              <w:textAlignment w:val="center"/>
              <w:rPr>
                <w:rFonts w:hint="default" w:ascii="Times New Roman" w:hAnsi="Times New Roman" w:eastAsia="仿宋_GB2312" w:cs="Times New Roman"/>
                <w:strike w:val="0"/>
                <w:dstrike w:val="0"/>
                <w:color w:val="auto"/>
                <w:spacing w:val="-4"/>
                <w:kern w:val="0"/>
                <w:sz w:val="24"/>
                <w:szCs w:val="24"/>
                <w:highlight w:val="none"/>
                <w:shd w:val="clear" w:color="auto" w:fill="auto"/>
                <w:lang w:val="en-US" w:eastAsia="zh-CN"/>
              </w:rPr>
            </w:pPr>
            <w:r>
              <w:rPr>
                <w:rFonts w:hint="eastAsia" w:ascii="Times New Roman" w:hAnsi="Times New Roman" w:eastAsia="仿宋_GB2312" w:cs="Times New Roman"/>
                <w:strike w:val="0"/>
                <w:dstrike w:val="0"/>
                <w:color w:val="auto"/>
                <w:spacing w:val="-4"/>
                <w:kern w:val="0"/>
                <w:sz w:val="24"/>
                <w:szCs w:val="24"/>
                <w:highlight w:val="none"/>
                <w:shd w:val="clear" w:color="auto" w:fill="auto"/>
                <w:lang w:val="en-US" w:eastAsia="zh-CN"/>
              </w:rPr>
              <w:t>7</w:t>
            </w:r>
          </w:p>
        </w:tc>
        <w:tc>
          <w:tcPr>
            <w:tcW w:w="204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产生、收集、贮存、运输、利用、处置固体废物的单位未依法及时公开固体废物污染环境防治信息</w:t>
            </w:r>
          </w:p>
        </w:tc>
        <w:tc>
          <w:tcPr>
            <w:tcW w:w="2668"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lang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在规定期限内改正完毕的</w:t>
            </w:r>
          </w:p>
        </w:tc>
        <w:tc>
          <w:tcPr>
            <w:tcW w:w="5086" w:type="dxa"/>
            <w:noWrap w:val="0"/>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《中华人民共和国固体废物污染环境防治法》第一百零二条　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w:t>
            </w:r>
          </w:p>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lang w:eastAsia="zh-CN"/>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有前款第一项、第八项行为之一，处五万元以上二十万元以下的罚款</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lang w:eastAsia="zh-CN"/>
              </w:rPr>
              <w:t>。</w:t>
            </w:r>
          </w:p>
        </w:tc>
        <w:tc>
          <w:tcPr>
            <w:tcW w:w="1420" w:type="dxa"/>
            <w:noWrap w:val="0"/>
            <w:vAlign w:val="center"/>
          </w:tcPr>
          <w:p>
            <w:pPr>
              <w:keepNext w:val="0"/>
              <w:keepLines w:val="0"/>
              <w:pageBreakBefore w:val="0"/>
              <w:widowControl w:val="0"/>
              <w:kinsoku/>
              <w:wordWrap/>
              <w:overflowPunct w:val="0"/>
              <w:topLinePunct w:val="0"/>
              <w:autoSpaceDE/>
              <w:autoSpaceDN/>
              <w:bidi w:val="0"/>
              <w:adjustRightInd w:val="0"/>
              <w:snapToGrid w:val="0"/>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pP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苏州市生态环境局</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lang w:eastAsia="zh-CN"/>
              </w:rPr>
              <w:t>、</w:t>
            </w:r>
            <w:r>
              <w:rPr>
                <w:rFonts w:hint="eastAsia" w:asciiTheme="minorEastAsia" w:hAnsiTheme="minorEastAsia" w:eastAsiaTheme="minorEastAsia" w:cstheme="minorEastAsia"/>
                <w:strike w:val="0"/>
                <w:dstrike w:val="0"/>
                <w:color w:val="auto"/>
                <w:spacing w:val="0"/>
                <w:kern w:val="0"/>
                <w:sz w:val="24"/>
                <w:szCs w:val="24"/>
                <w:highlight w:val="none"/>
                <w:shd w:val="clear" w:color="auto" w:fill="auto"/>
              </w:rPr>
              <w:t>苏州工业园区生态环境局</w:t>
            </w:r>
            <w:r>
              <w:rPr>
                <w:rFonts w:hint="eastAsia" w:asciiTheme="minorEastAsia" w:hAnsiTheme="minorEastAsia" w:eastAsiaTheme="minorEastAsia" w:cstheme="minorEastAsia"/>
                <w:strike w:val="0"/>
                <w:dstrike w:val="0"/>
                <w:color w:val="auto"/>
                <w:spacing w:val="-4"/>
                <w:kern w:val="0"/>
                <w:sz w:val="24"/>
                <w:szCs w:val="24"/>
                <w:highlight w:val="none"/>
                <w:shd w:val="clear" w:color="auto" w:fill="auto"/>
              </w:rPr>
              <w:t>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542" w:type="dxa"/>
            <w:vAlign w:val="center"/>
          </w:tcPr>
          <w:p>
            <w:pPr>
              <w:overflowPunct w:val="0"/>
              <w:adjustRightInd w:val="0"/>
              <w:snapToGrid w:val="0"/>
              <w:jc w:val="center"/>
              <w:textAlignment w:val="center"/>
              <w:rPr>
                <w:rFonts w:hint="default" w:ascii="Times New Roman" w:hAnsi="Times New Roman" w:cs="Times New Roman"/>
                <w:strike/>
                <w:dstrike w:val="0"/>
                <w:color w:val="auto"/>
                <w:spacing w:val="-4"/>
                <w:kern w:val="0"/>
                <w:sz w:val="24"/>
                <w:szCs w:val="24"/>
                <w:highlight w:val="none"/>
                <w:lang w:val="en-US" w:eastAsia="zh-CN"/>
              </w:rPr>
            </w:pPr>
            <w:r>
              <w:rPr>
                <w:rFonts w:hint="eastAsia" w:ascii="Times New Roman" w:hAnsi="Times New Roman" w:cs="Times New Roman"/>
                <w:strike w:val="0"/>
                <w:dstrike w:val="0"/>
                <w:color w:val="auto"/>
                <w:spacing w:val="-4"/>
                <w:kern w:val="0"/>
                <w:sz w:val="24"/>
                <w:szCs w:val="24"/>
                <w:highlight w:val="none"/>
                <w:lang w:val="en-US" w:eastAsia="zh-CN"/>
              </w:rPr>
              <w:t>8</w:t>
            </w:r>
          </w:p>
        </w:tc>
        <w:tc>
          <w:tcPr>
            <w:tcW w:w="2048"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未按照国家有关规定制定危险废物管理计划</w:t>
            </w:r>
          </w:p>
        </w:tc>
        <w:tc>
          <w:tcPr>
            <w:tcW w:w="2668"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default"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现场危险废物环境污染防治措施落实到位，已制定危险废物管理计划，但制定不规范，且五个工作日内重新编制管理计划并备案的</w:t>
            </w:r>
          </w:p>
        </w:tc>
        <w:tc>
          <w:tcPr>
            <w:tcW w:w="5086"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《中华人民共和国固体废物污染环境防治法》第一百一十二条　违反本法规定，有下列行为之一，由生态环境主管部门责令改正，处以罚款，没收违法所得；情节严重的，报经有批准权的人民政府批准，可以责令停业或者关闭：（二）未按照国家有关规定制定危险废物管理计划或者申报危险废物有关资料的。</w:t>
            </w:r>
          </w:p>
        </w:tc>
        <w:tc>
          <w:tcPr>
            <w:tcW w:w="1420"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苏州市生态环境局、苏州工业园区生态环境局及其他行使相关行政处罚权的机构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6" w:hRule="atLeast"/>
          <w:jc w:val="center"/>
        </w:trPr>
        <w:tc>
          <w:tcPr>
            <w:tcW w:w="542"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default"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9</w:t>
            </w:r>
          </w:p>
        </w:tc>
        <w:tc>
          <w:tcPr>
            <w:tcW w:w="2048"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未按照国家环境保护标准贮存工业固体废物</w:t>
            </w:r>
          </w:p>
        </w:tc>
        <w:tc>
          <w:tcPr>
            <w:tcW w:w="2668"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不规范贮存工业固体废物数量小于1吨（包括1吨），未发现污染后果，且违法行为在规定期限内改正完毕的</w:t>
            </w:r>
          </w:p>
        </w:tc>
        <w:tc>
          <w:tcPr>
            <w:tcW w:w="5086"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《中华人民共和国固体废物污染环境防治法》第一百零二条 违反本法规定，有下列行为之一，由生态环境主管部门责令改正，处以罚款，没收违法所得；情节严重的，报经有批准权的人民政府批准，可以责令停业或者关闭：（十）贮存工业固体废物未采取符合国家环境保护标准的防护措施的；</w:t>
            </w:r>
          </w:p>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有前款第二项、第三项、第四项、第五项、第六项、第九项、第十项、第十一项行为之一，处十万元以上一百万元以下的罚款；</w:t>
            </w:r>
          </w:p>
        </w:tc>
        <w:tc>
          <w:tcPr>
            <w:tcW w:w="1420"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苏州市生态环境局、苏州工业园区生态环境局及其他行使相关行政处罚权的机构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34" w:hRule="atLeast"/>
          <w:jc w:val="center"/>
        </w:trPr>
        <w:tc>
          <w:tcPr>
            <w:tcW w:w="542"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default"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10</w:t>
            </w:r>
          </w:p>
        </w:tc>
        <w:tc>
          <w:tcPr>
            <w:tcW w:w="2048"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使用排放不合格的非道路移动机械</w:t>
            </w:r>
          </w:p>
        </w:tc>
        <w:tc>
          <w:tcPr>
            <w:tcW w:w="2668"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排放不合格的非道路机械不超过2台，且烟度检出值不超过排放限值的20%，并在规定期限内整改的</w:t>
            </w:r>
          </w:p>
        </w:tc>
        <w:tc>
          <w:tcPr>
            <w:tcW w:w="5086"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《中华人民共和国大气污染防治法》第一百一十四条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1420" w:type="dxa"/>
            <w:vAlign w:val="center"/>
          </w:tcPr>
          <w:p>
            <w:pPr>
              <w:keepNext w:val="0"/>
              <w:keepLines w:val="0"/>
              <w:pageBreakBefore w:val="0"/>
              <w:widowControl w:val="0"/>
              <w:kinsoku/>
              <w:wordWrap/>
              <w:overflowPunct w:val="0"/>
              <w:topLinePunct w:val="0"/>
              <w:autoSpaceDE/>
              <w:autoSpaceDN/>
              <w:bidi w:val="0"/>
              <w:adjustRightInd w:val="0"/>
              <w:snapToGrid w:val="0"/>
              <w:textAlignment w:val="cente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4"/>
                <w:kern w:val="0"/>
                <w:sz w:val="24"/>
                <w:szCs w:val="24"/>
                <w:highlight w:val="none"/>
                <w:lang w:val="en-US" w:eastAsia="zh-CN"/>
              </w:rPr>
              <w:t>苏州市生态环境局、苏州工业园区生态环境局及其他行使相关行政处罚权的机构</w:t>
            </w:r>
          </w:p>
        </w:tc>
      </w:tr>
    </w:tbl>
    <w:p>
      <w:pPr>
        <w:overflowPunct w:val="0"/>
        <w:adjustRightInd w:val="0"/>
        <w:snapToGrid w:val="0"/>
        <w:textAlignment w:val="center"/>
        <w:rPr>
          <w:rFonts w:hint="default" w:ascii="Times New Roman" w:hAnsi="Times New Roman"/>
          <w:color w:val="auto"/>
          <w:spacing w:val="-4"/>
          <w:kern w:val="0"/>
          <w:sz w:val="24"/>
          <w:szCs w:val="24"/>
          <w:highlight w:val="yellow"/>
        </w:rPr>
      </w:pPr>
    </w:p>
    <w:p>
      <w:pPr>
        <w:keepNext w:val="0"/>
        <w:keepLines w:val="0"/>
        <w:pageBreakBefore w:val="0"/>
        <w:widowControl w:val="0"/>
        <w:kinsoku/>
        <w:wordWrap/>
        <w:overflowPunct w:val="0"/>
        <w:topLinePunct w:val="0"/>
        <w:autoSpaceDE/>
        <w:autoSpaceDN/>
        <w:bidi w:val="0"/>
        <w:adjustRightInd w:val="0"/>
        <w:snapToGrid w:val="0"/>
        <w:textAlignment w:val="center"/>
        <w:rPr>
          <w:rFonts w:hint="default" w:asciiTheme="minorEastAsia" w:hAnsiTheme="minorEastAsia" w:eastAsiaTheme="minorEastAsia" w:cstheme="minorEastAsia"/>
          <w:strike w:val="0"/>
          <w:dstrike w:val="0"/>
          <w:color w:val="auto"/>
          <w:spacing w:val="-4"/>
          <w:kern w:val="0"/>
          <w:sz w:val="24"/>
          <w:szCs w:val="24"/>
          <w:highlight w:val="none"/>
          <w:lang w:val="en-US" w:eastAsia="zh-CN"/>
        </w:rPr>
      </w:pPr>
    </w:p>
    <w:sectPr>
      <w:footerReference r:id="rId3" w:type="default"/>
      <w:pgSz w:w="16838" w:h="11906" w:orient="landscape"/>
      <w:pgMar w:top="1800" w:right="1134" w:bottom="180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NDg0NDZjZjY2ZTMwYTBjZTA2MDMwMzc3ZGQ1M2UifQ=="/>
  </w:docVars>
  <w:rsids>
    <w:rsidRoot w:val="3EBC39A9"/>
    <w:rsid w:val="002A009E"/>
    <w:rsid w:val="003412F1"/>
    <w:rsid w:val="00BF4C2D"/>
    <w:rsid w:val="012E5AF5"/>
    <w:rsid w:val="01953276"/>
    <w:rsid w:val="01B42948"/>
    <w:rsid w:val="022656AB"/>
    <w:rsid w:val="031E198F"/>
    <w:rsid w:val="05F72243"/>
    <w:rsid w:val="065C674E"/>
    <w:rsid w:val="06636B01"/>
    <w:rsid w:val="074A22B5"/>
    <w:rsid w:val="07DA53FF"/>
    <w:rsid w:val="088759C9"/>
    <w:rsid w:val="0A3F5536"/>
    <w:rsid w:val="0B2E2EA9"/>
    <w:rsid w:val="0B81117E"/>
    <w:rsid w:val="0D9176AA"/>
    <w:rsid w:val="0DD73ECA"/>
    <w:rsid w:val="0F033EA7"/>
    <w:rsid w:val="10903040"/>
    <w:rsid w:val="11910975"/>
    <w:rsid w:val="13177C46"/>
    <w:rsid w:val="13B51705"/>
    <w:rsid w:val="14603640"/>
    <w:rsid w:val="14B813EA"/>
    <w:rsid w:val="14F955CC"/>
    <w:rsid w:val="155E1F1A"/>
    <w:rsid w:val="157F7F62"/>
    <w:rsid w:val="15F05857"/>
    <w:rsid w:val="168B71B7"/>
    <w:rsid w:val="16AB60BD"/>
    <w:rsid w:val="16F413C5"/>
    <w:rsid w:val="17012642"/>
    <w:rsid w:val="17432486"/>
    <w:rsid w:val="18B46AA8"/>
    <w:rsid w:val="1B6148F2"/>
    <w:rsid w:val="1BAF7A75"/>
    <w:rsid w:val="1BBF63CE"/>
    <w:rsid w:val="1BD60ACD"/>
    <w:rsid w:val="1C0B7423"/>
    <w:rsid w:val="1C79694C"/>
    <w:rsid w:val="1DA97D1A"/>
    <w:rsid w:val="1E4D32CD"/>
    <w:rsid w:val="1EA57449"/>
    <w:rsid w:val="1EB23873"/>
    <w:rsid w:val="20C0129D"/>
    <w:rsid w:val="20D067DE"/>
    <w:rsid w:val="213D605E"/>
    <w:rsid w:val="219313DF"/>
    <w:rsid w:val="21FB6A27"/>
    <w:rsid w:val="22463166"/>
    <w:rsid w:val="226E183C"/>
    <w:rsid w:val="25643BBA"/>
    <w:rsid w:val="26987061"/>
    <w:rsid w:val="2A6318D1"/>
    <w:rsid w:val="2B1B4ED1"/>
    <w:rsid w:val="2B6832E8"/>
    <w:rsid w:val="2D465E11"/>
    <w:rsid w:val="2F374EC1"/>
    <w:rsid w:val="30A7329E"/>
    <w:rsid w:val="30D809E8"/>
    <w:rsid w:val="30FF39C1"/>
    <w:rsid w:val="317205DD"/>
    <w:rsid w:val="32531F29"/>
    <w:rsid w:val="35B37F0B"/>
    <w:rsid w:val="36BF21E6"/>
    <w:rsid w:val="374852F5"/>
    <w:rsid w:val="37721DCC"/>
    <w:rsid w:val="37CB6AAC"/>
    <w:rsid w:val="37F30D82"/>
    <w:rsid w:val="383C30D8"/>
    <w:rsid w:val="391C2FCD"/>
    <w:rsid w:val="39667958"/>
    <w:rsid w:val="3BFA4E20"/>
    <w:rsid w:val="3C957596"/>
    <w:rsid w:val="3CFF7672"/>
    <w:rsid w:val="3D302FA6"/>
    <w:rsid w:val="3E2B48AC"/>
    <w:rsid w:val="3EBC39A9"/>
    <w:rsid w:val="400E2C48"/>
    <w:rsid w:val="43C57A72"/>
    <w:rsid w:val="443533B9"/>
    <w:rsid w:val="469C5B91"/>
    <w:rsid w:val="473D5D4F"/>
    <w:rsid w:val="475B41DC"/>
    <w:rsid w:val="47D73BEA"/>
    <w:rsid w:val="49135F25"/>
    <w:rsid w:val="49C70A83"/>
    <w:rsid w:val="4A293BFB"/>
    <w:rsid w:val="4A746E4E"/>
    <w:rsid w:val="4ACF5BF8"/>
    <w:rsid w:val="4B7F26FB"/>
    <w:rsid w:val="4C4A23B9"/>
    <w:rsid w:val="4D115A78"/>
    <w:rsid w:val="4DC45782"/>
    <w:rsid w:val="4E1368CA"/>
    <w:rsid w:val="4EC7658F"/>
    <w:rsid w:val="4EE54ECF"/>
    <w:rsid w:val="4F4005A1"/>
    <w:rsid w:val="4F477F24"/>
    <w:rsid w:val="4F7F096E"/>
    <w:rsid w:val="4F8D0CEE"/>
    <w:rsid w:val="50A94DA7"/>
    <w:rsid w:val="50E94F8B"/>
    <w:rsid w:val="5163721D"/>
    <w:rsid w:val="532F1045"/>
    <w:rsid w:val="535350EA"/>
    <w:rsid w:val="53C1179E"/>
    <w:rsid w:val="547E2977"/>
    <w:rsid w:val="54935DF2"/>
    <w:rsid w:val="553E32C9"/>
    <w:rsid w:val="5587107B"/>
    <w:rsid w:val="562763BA"/>
    <w:rsid w:val="567D1EA9"/>
    <w:rsid w:val="57082A7B"/>
    <w:rsid w:val="571B7CCD"/>
    <w:rsid w:val="59A27DC4"/>
    <w:rsid w:val="5A0C7F5F"/>
    <w:rsid w:val="5A3E08C9"/>
    <w:rsid w:val="5A487392"/>
    <w:rsid w:val="5BC56459"/>
    <w:rsid w:val="5BFF4EC1"/>
    <w:rsid w:val="5C724177"/>
    <w:rsid w:val="5CF97AD0"/>
    <w:rsid w:val="5D043747"/>
    <w:rsid w:val="5D2400EC"/>
    <w:rsid w:val="5D261BE2"/>
    <w:rsid w:val="5DF27800"/>
    <w:rsid w:val="5E010AD1"/>
    <w:rsid w:val="5EE9619A"/>
    <w:rsid w:val="6028345A"/>
    <w:rsid w:val="604C7149"/>
    <w:rsid w:val="6183303E"/>
    <w:rsid w:val="61BB57DA"/>
    <w:rsid w:val="6298705D"/>
    <w:rsid w:val="63BD1327"/>
    <w:rsid w:val="63DB4A00"/>
    <w:rsid w:val="63EA4CD1"/>
    <w:rsid w:val="65533ABB"/>
    <w:rsid w:val="66CB754A"/>
    <w:rsid w:val="66DC59E8"/>
    <w:rsid w:val="66F525EC"/>
    <w:rsid w:val="679F5C8F"/>
    <w:rsid w:val="683C12C8"/>
    <w:rsid w:val="696962D1"/>
    <w:rsid w:val="699E0B7B"/>
    <w:rsid w:val="69E516EC"/>
    <w:rsid w:val="6A841351"/>
    <w:rsid w:val="6A89664A"/>
    <w:rsid w:val="6BA25337"/>
    <w:rsid w:val="6C3C6B8F"/>
    <w:rsid w:val="6C550709"/>
    <w:rsid w:val="6C8F13AC"/>
    <w:rsid w:val="6D2A7C88"/>
    <w:rsid w:val="6DD838E5"/>
    <w:rsid w:val="6E8F7245"/>
    <w:rsid w:val="71242F8D"/>
    <w:rsid w:val="71536F6A"/>
    <w:rsid w:val="719122C6"/>
    <w:rsid w:val="719170B1"/>
    <w:rsid w:val="71FC0A7C"/>
    <w:rsid w:val="72807126"/>
    <w:rsid w:val="7294672D"/>
    <w:rsid w:val="73BE248D"/>
    <w:rsid w:val="73E96571"/>
    <w:rsid w:val="74B04184"/>
    <w:rsid w:val="74DB5BB1"/>
    <w:rsid w:val="74F556BF"/>
    <w:rsid w:val="751D0C5C"/>
    <w:rsid w:val="75470F72"/>
    <w:rsid w:val="756B291D"/>
    <w:rsid w:val="75824801"/>
    <w:rsid w:val="75910E22"/>
    <w:rsid w:val="76217643"/>
    <w:rsid w:val="767903C9"/>
    <w:rsid w:val="76D05F55"/>
    <w:rsid w:val="770E2215"/>
    <w:rsid w:val="77A5479D"/>
    <w:rsid w:val="77CF5EED"/>
    <w:rsid w:val="78E67E0C"/>
    <w:rsid w:val="79763589"/>
    <w:rsid w:val="79B13B1C"/>
    <w:rsid w:val="7A4128EC"/>
    <w:rsid w:val="7AAC334C"/>
    <w:rsid w:val="7BD73F04"/>
    <w:rsid w:val="7C3272AC"/>
    <w:rsid w:val="7C993FAC"/>
    <w:rsid w:val="7E2D54C8"/>
    <w:rsid w:val="7EB13D6D"/>
    <w:rsid w:val="7EDD4E30"/>
    <w:rsid w:val="7FEB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3538</Words>
  <Characters>3576</Characters>
  <Lines>0</Lines>
  <Paragraphs>0</Paragraphs>
  <TotalTime>38</TotalTime>
  <ScaleCrop>false</ScaleCrop>
  <LinksUpToDate>false</LinksUpToDate>
  <CharactersWithSpaces>3594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2022-04-13T01:50:00Z</dcterms:created>
  <dc:creator>刘峰</dc:creator>
  <cp:lastModifiedBy>尼古拉斯-熊本峰</cp:lastModifiedBy>
  <dcterms:modified xsi:type="dcterms:W3CDTF">2024-08-09T02:02:35Z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B2B09D2C42C04DF4B5A916972399BDFB_13</vt:lpwstr>
  </property>
</Properties>
</file>