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方正小标宋简体" w:cs="Times New Roman"/>
          <w:color w:val="auto"/>
          <w:spacing w:val="0"/>
          <w:sz w:val="32"/>
          <w:szCs w:val="32"/>
          <w:lang w:val="en-US" w:eastAsia="zh-CN"/>
        </w:rPr>
      </w:pPr>
      <w:r>
        <w:rPr>
          <w:rFonts w:hint="default" w:ascii="Times New Roman" w:hAnsi="Times New Roman" w:eastAsia="方正小标宋简体" w:cs="Times New Roman"/>
          <w:color w:val="auto"/>
          <w:spacing w:val="0"/>
          <w:sz w:val="32"/>
          <w:szCs w:val="32"/>
          <w:lang w:val="en-US" w:eastAsia="zh-CN"/>
        </w:rPr>
        <w:t>附件2</w:t>
      </w:r>
      <w:r>
        <w:rPr>
          <w:rFonts w:hint="eastAsia" w:eastAsia="方正小标宋简体" w:cs="Times New Roman"/>
          <w:color w:val="auto"/>
          <w:spacing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不予实施行政强制措施清单</w:t>
      </w:r>
      <w:r>
        <w:rPr>
          <w:rFonts w:hint="eastAsia" w:ascii="Times New Roman" w:hAnsi="Times New Roman" w:eastAsia="方正小标宋简体" w:cs="Times New Roman"/>
          <w:color w:val="auto"/>
          <w:spacing w:val="0"/>
          <w:sz w:val="44"/>
          <w:szCs w:val="44"/>
          <w:lang w:val="en-US" w:eastAsia="zh-CN"/>
        </w:rPr>
        <w:t>2.0版</w:t>
      </w:r>
      <w:r>
        <w:rPr>
          <w:rFonts w:hint="default" w:ascii="Times New Roman" w:hAnsi="Times New Roman" w:eastAsia="方正小标宋简体" w:cs="Times New Roman"/>
          <w:color w:val="auto"/>
          <w:spacing w:val="0"/>
          <w:sz w:val="44"/>
          <w:szCs w:val="44"/>
          <w:lang w:val="en-US" w:eastAsia="zh-CN"/>
        </w:rPr>
        <w:t>（1项）</w:t>
      </w:r>
    </w:p>
    <w:tbl>
      <w:tblPr>
        <w:tblStyle w:val="3"/>
        <w:tblW w:w="13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63"/>
        <w:gridCol w:w="1927"/>
        <w:gridCol w:w="2668"/>
        <w:gridCol w:w="6985"/>
        <w:gridCol w:w="12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blHeader/>
          <w:jc w:val="center"/>
        </w:trPr>
        <w:tc>
          <w:tcPr>
            <w:tcW w:w="663" w:type="dxa"/>
            <w:shd w:val="clear" w:color="auto" w:fill="auto"/>
            <w:noWrap/>
            <w:vAlign w:val="center"/>
          </w:tcPr>
          <w:p>
            <w:pPr>
              <w:overflowPunct w:val="0"/>
              <w:adjustRightInd w:val="0"/>
              <w:snapToGrid w:val="0"/>
              <w:jc w:val="center"/>
              <w:rPr>
                <w:rFonts w:hint="default" w:ascii="Times New Roman" w:hAnsi="Times New Roman" w:eastAsia="黑体" w:cs="Times New Roman"/>
                <w:color w:val="auto"/>
                <w:spacing w:val="-4"/>
                <w:sz w:val="24"/>
                <w:szCs w:val="24"/>
              </w:rPr>
            </w:pPr>
            <w:r>
              <w:rPr>
                <w:rFonts w:hint="default" w:ascii="Times New Roman" w:hAnsi="Times New Roman" w:eastAsia="黑体" w:cs="Times New Roman"/>
                <w:color w:val="auto"/>
                <w:spacing w:val="-4"/>
                <w:sz w:val="24"/>
                <w:szCs w:val="24"/>
              </w:rPr>
              <w:t>序号</w:t>
            </w:r>
          </w:p>
        </w:tc>
        <w:tc>
          <w:tcPr>
            <w:tcW w:w="1927" w:type="dxa"/>
            <w:shd w:val="clear" w:color="auto" w:fill="auto"/>
            <w:noWrap/>
            <w:vAlign w:val="center"/>
          </w:tcPr>
          <w:p>
            <w:pPr>
              <w:overflowPunct w:val="0"/>
              <w:adjustRightInd w:val="0"/>
              <w:snapToGrid w:val="0"/>
              <w:jc w:val="center"/>
              <w:rPr>
                <w:rFonts w:hint="default" w:ascii="Times New Roman" w:hAnsi="Times New Roman" w:eastAsia="黑体" w:cs="Times New Roman"/>
                <w:color w:val="auto"/>
                <w:spacing w:val="-4"/>
                <w:sz w:val="24"/>
                <w:szCs w:val="24"/>
              </w:rPr>
            </w:pPr>
            <w:r>
              <w:rPr>
                <w:rFonts w:hint="eastAsia" w:ascii="Times New Roman" w:hAnsi="Times New Roman" w:eastAsia="黑体" w:cs="Times New Roman"/>
                <w:color w:val="auto"/>
                <w:spacing w:val="-4"/>
                <w:sz w:val="24"/>
                <w:szCs w:val="24"/>
              </w:rPr>
              <w:t>行政强制措施</w:t>
            </w:r>
          </w:p>
        </w:tc>
        <w:tc>
          <w:tcPr>
            <w:tcW w:w="2668" w:type="dxa"/>
            <w:shd w:val="clear" w:color="auto" w:fill="auto"/>
            <w:noWrap/>
            <w:vAlign w:val="center"/>
          </w:tcPr>
          <w:p>
            <w:pPr>
              <w:overflowPunct w:val="0"/>
              <w:adjustRightInd w:val="0"/>
              <w:snapToGrid w:val="0"/>
              <w:jc w:val="center"/>
              <w:rPr>
                <w:rFonts w:hint="default" w:ascii="Times New Roman" w:hAnsi="Times New Roman" w:eastAsia="黑体" w:cs="Times New Roman"/>
                <w:color w:val="auto"/>
                <w:spacing w:val="-4"/>
                <w:sz w:val="24"/>
                <w:szCs w:val="24"/>
              </w:rPr>
            </w:pPr>
            <w:r>
              <w:rPr>
                <w:rFonts w:hint="eastAsia" w:ascii="Times New Roman" w:hAnsi="Times New Roman" w:eastAsia="黑体" w:cs="Times New Roman"/>
                <w:color w:val="auto"/>
                <w:spacing w:val="-4"/>
                <w:sz w:val="24"/>
                <w:szCs w:val="24"/>
              </w:rPr>
              <w:t>不予强制条件</w:t>
            </w:r>
          </w:p>
        </w:tc>
        <w:tc>
          <w:tcPr>
            <w:tcW w:w="6985" w:type="dxa"/>
            <w:shd w:val="clear" w:color="auto" w:fill="auto"/>
            <w:noWrap/>
            <w:vAlign w:val="center"/>
          </w:tcPr>
          <w:p>
            <w:pPr>
              <w:overflowPunct w:val="0"/>
              <w:adjustRightInd w:val="0"/>
              <w:snapToGrid w:val="0"/>
              <w:jc w:val="center"/>
              <w:rPr>
                <w:rFonts w:hint="default" w:ascii="Times New Roman" w:hAnsi="Times New Roman" w:eastAsia="黑体" w:cs="Times New Roman"/>
                <w:color w:val="auto"/>
                <w:spacing w:val="-4"/>
                <w:sz w:val="24"/>
                <w:szCs w:val="24"/>
              </w:rPr>
            </w:pPr>
            <w:r>
              <w:rPr>
                <w:rFonts w:hint="default" w:ascii="Times New Roman" w:hAnsi="Times New Roman" w:eastAsia="黑体" w:cs="Times New Roman"/>
                <w:color w:val="auto"/>
                <w:spacing w:val="-4"/>
                <w:sz w:val="24"/>
                <w:szCs w:val="24"/>
              </w:rPr>
              <w:t>法 律 依 据</w:t>
            </w:r>
          </w:p>
        </w:tc>
        <w:tc>
          <w:tcPr>
            <w:tcW w:w="1276" w:type="dxa"/>
            <w:shd w:val="clear" w:color="auto" w:fill="auto"/>
            <w:noWrap/>
            <w:vAlign w:val="center"/>
          </w:tcPr>
          <w:p>
            <w:pPr>
              <w:overflowPunct w:val="0"/>
              <w:adjustRightInd w:val="0"/>
              <w:snapToGrid w:val="0"/>
              <w:jc w:val="center"/>
              <w:rPr>
                <w:rFonts w:hint="default" w:ascii="Times New Roman" w:hAnsi="Times New Roman" w:eastAsia="黑体" w:cs="Times New Roman"/>
                <w:color w:val="auto"/>
                <w:spacing w:val="-4"/>
                <w:sz w:val="24"/>
                <w:szCs w:val="24"/>
              </w:rPr>
            </w:pPr>
            <w:r>
              <w:rPr>
                <w:rFonts w:hint="default" w:ascii="Times New Roman" w:hAnsi="Times New Roman" w:eastAsia="黑体" w:cs="Times New Roman"/>
                <w:color w:val="auto"/>
                <w:spacing w:val="-4"/>
                <w:sz w:val="24"/>
                <w:szCs w:val="24"/>
              </w:rPr>
              <w:t>实施主体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11" w:hRule="atLeast"/>
          <w:jc w:val="center"/>
        </w:trPr>
        <w:tc>
          <w:tcPr>
            <w:tcW w:w="663" w:type="dxa"/>
            <w:noWrap w:val="0"/>
            <w:vAlign w:val="center"/>
          </w:tcPr>
          <w:p>
            <w:pPr>
              <w:widowControl/>
              <w:jc w:val="center"/>
              <w:textAlignment w:val="center"/>
              <w:rPr>
                <w:rFonts w:hint="default" w:ascii="Times New Roman" w:hAnsi="Times New Roman" w:cs="Times New Roman"/>
                <w:color w:val="auto"/>
                <w:spacing w:val="-4"/>
                <w:kern w:val="0"/>
                <w:sz w:val="24"/>
                <w:szCs w:val="24"/>
              </w:rPr>
            </w:pPr>
            <w:r>
              <w:rPr>
                <w:rFonts w:hint="default" w:ascii="Times New Roman" w:hAnsi="Times New Roman" w:cs="Times New Roman"/>
                <w:kern w:val="2"/>
                <w:sz w:val="24"/>
                <w:szCs w:val="24"/>
                <w:lang w:val="en-US" w:eastAsia="zh-CN" w:bidi="ar-SA"/>
              </w:rPr>
              <w:t>1</w:t>
            </w:r>
          </w:p>
        </w:tc>
        <w:tc>
          <w:tcPr>
            <w:tcW w:w="192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kern w:val="2"/>
                <w:sz w:val="24"/>
                <w:szCs w:val="24"/>
                <w:lang w:val="en-US" w:eastAsia="zh-CN" w:bidi="ar-SA"/>
              </w:rPr>
              <w:t>查封扣押</w:t>
            </w:r>
          </w:p>
        </w:tc>
        <w:tc>
          <w:tcPr>
            <w:tcW w:w="26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auto"/>
                <w:spacing w:val="-4"/>
                <w:kern w:val="0"/>
                <w:sz w:val="24"/>
                <w:szCs w:val="24"/>
                <w:lang w:val="en-US" w:eastAsia="zh-CN"/>
              </w:rPr>
            </w:pPr>
            <w:r>
              <w:rPr>
                <w:rFonts w:hint="eastAsia" w:asciiTheme="minorEastAsia" w:hAnsiTheme="minorEastAsia" w:eastAsiaTheme="minorEastAsia" w:cstheme="minorEastAsia"/>
                <w:kern w:val="2"/>
                <w:sz w:val="24"/>
                <w:szCs w:val="24"/>
                <w:lang w:val="en-US" w:eastAsia="zh-CN" w:bidi="ar-SA"/>
              </w:rPr>
              <w:t>排污单位违反法律法规规定排放污染物，立即停止并改正违法行为，丧失查封扣押必要性的</w:t>
            </w:r>
          </w:p>
        </w:tc>
        <w:tc>
          <w:tcPr>
            <w:tcW w:w="6985" w:type="dxa"/>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中华人民共和国环境保护法》第二十五条：“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中华人民共和国大气污染防治法》第三十条：“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中华人民共和国固体废物污染环境防治法》第二十七条：“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中华人民共和国土壤污染防治法》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中华人民共和国噪声污染防治法》第三十条：“排放噪声造成严重污染，被责令改正拒不改正的，生态环境主管部门或者其他负有噪声污染防治监督管理职责的部门，可以查封、扣押排放噪声的场所、设施、设备、工具和物品。”</w:t>
            </w:r>
          </w:p>
          <w:p>
            <w:pPr>
              <w:keepNext w:val="0"/>
              <w:keepLines w:val="0"/>
              <w:pageBreakBefore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kern w:val="2"/>
                <w:sz w:val="24"/>
                <w:szCs w:val="24"/>
                <w:lang w:val="en-US" w:eastAsia="zh-CN" w:bidi="ar-SA"/>
              </w:rPr>
            </w:pPr>
            <w:r>
              <w:rPr>
                <w:rFonts w:hint="eastAsia" w:ascii="黑体" w:hAnsi="黑体" w:eastAsia="黑体" w:cs="黑体"/>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中华人民共和国行政强制法》第十六条第二款：“违法行为情节显著轻微或者没有明显社会危害的，可以不采取行政强制措施。”</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Theme="minorEastAsia" w:hAnsiTheme="minorEastAsia" w:eastAsiaTheme="minorEastAsia" w:cstheme="minorEastAsia"/>
                <w:color w:val="auto"/>
                <w:spacing w:val="-4"/>
                <w:kern w:val="0"/>
                <w:sz w:val="24"/>
                <w:szCs w:val="24"/>
              </w:rPr>
            </w:pPr>
            <w:r>
              <w:rPr>
                <w:rFonts w:hint="eastAsia" w:asciiTheme="minorEastAsia" w:hAnsiTheme="minorEastAsia" w:eastAsiaTheme="minorEastAsia" w:cstheme="minorEastAsia"/>
                <w:kern w:val="2"/>
                <w:sz w:val="24"/>
                <w:szCs w:val="24"/>
                <w:lang w:val="en-US" w:eastAsia="zh-CN" w:bidi="ar-SA"/>
              </w:rPr>
              <w:t>苏州市生态环境局</w:t>
            </w:r>
          </w:p>
        </w:tc>
      </w:tr>
    </w:tbl>
    <w:p/>
    <w:sectPr>
      <w:pgSz w:w="16838" w:h="11906" w:orient="landscape"/>
      <w:pgMar w:top="1800" w:right="1134"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NDg0NDZjZjY2ZTMwYTBjZTA2MDMwMzc3ZGQ1M2UifQ=="/>
  </w:docVars>
  <w:rsids>
    <w:rsidRoot w:val="561F02D3"/>
    <w:rsid w:val="003412F1"/>
    <w:rsid w:val="012E5AF5"/>
    <w:rsid w:val="01953276"/>
    <w:rsid w:val="022656AB"/>
    <w:rsid w:val="047E440D"/>
    <w:rsid w:val="05F72243"/>
    <w:rsid w:val="065C674E"/>
    <w:rsid w:val="06636B01"/>
    <w:rsid w:val="088759C9"/>
    <w:rsid w:val="0A3F5536"/>
    <w:rsid w:val="0B81117E"/>
    <w:rsid w:val="0DD73ECA"/>
    <w:rsid w:val="0F033EA7"/>
    <w:rsid w:val="13B51705"/>
    <w:rsid w:val="14F955CC"/>
    <w:rsid w:val="157F7F62"/>
    <w:rsid w:val="15F05857"/>
    <w:rsid w:val="168B71B7"/>
    <w:rsid w:val="17012642"/>
    <w:rsid w:val="17432486"/>
    <w:rsid w:val="19FF1DF6"/>
    <w:rsid w:val="1B6148F2"/>
    <w:rsid w:val="1BAF7A75"/>
    <w:rsid w:val="1BD60ACD"/>
    <w:rsid w:val="1C0B7423"/>
    <w:rsid w:val="1DA97D1A"/>
    <w:rsid w:val="1EB23873"/>
    <w:rsid w:val="1EC85985"/>
    <w:rsid w:val="20C0129D"/>
    <w:rsid w:val="22463166"/>
    <w:rsid w:val="26987061"/>
    <w:rsid w:val="2B1B4ED1"/>
    <w:rsid w:val="2B6832E8"/>
    <w:rsid w:val="30A7329E"/>
    <w:rsid w:val="30D809E8"/>
    <w:rsid w:val="30FF39C1"/>
    <w:rsid w:val="35B37F0B"/>
    <w:rsid w:val="36BF21E6"/>
    <w:rsid w:val="374852F5"/>
    <w:rsid w:val="37721DCC"/>
    <w:rsid w:val="37F30D82"/>
    <w:rsid w:val="3C394BA7"/>
    <w:rsid w:val="3CFF7672"/>
    <w:rsid w:val="3E2B48AC"/>
    <w:rsid w:val="43C57A72"/>
    <w:rsid w:val="475B41DC"/>
    <w:rsid w:val="47D73BEA"/>
    <w:rsid w:val="49135F25"/>
    <w:rsid w:val="4A746E4E"/>
    <w:rsid w:val="4ACF5BF8"/>
    <w:rsid w:val="4B7F26FB"/>
    <w:rsid w:val="4C4A23B9"/>
    <w:rsid w:val="4D115A78"/>
    <w:rsid w:val="4DC45782"/>
    <w:rsid w:val="4EC7658F"/>
    <w:rsid w:val="4EE54ECF"/>
    <w:rsid w:val="4F7F096E"/>
    <w:rsid w:val="4F8D0CEE"/>
    <w:rsid w:val="50A94DA7"/>
    <w:rsid w:val="50E94F8B"/>
    <w:rsid w:val="5163721D"/>
    <w:rsid w:val="53C1179E"/>
    <w:rsid w:val="547E2977"/>
    <w:rsid w:val="553E32C9"/>
    <w:rsid w:val="561F02D3"/>
    <w:rsid w:val="567D1EA9"/>
    <w:rsid w:val="57082A7B"/>
    <w:rsid w:val="59A27DC4"/>
    <w:rsid w:val="5A487392"/>
    <w:rsid w:val="5C724177"/>
    <w:rsid w:val="5CF97AD0"/>
    <w:rsid w:val="5D043747"/>
    <w:rsid w:val="5D2400EC"/>
    <w:rsid w:val="5DF27800"/>
    <w:rsid w:val="61BB57DA"/>
    <w:rsid w:val="63DB4A00"/>
    <w:rsid w:val="63EA4CD1"/>
    <w:rsid w:val="65533ABB"/>
    <w:rsid w:val="66CB754A"/>
    <w:rsid w:val="683C12C8"/>
    <w:rsid w:val="699E0B7B"/>
    <w:rsid w:val="69E516EC"/>
    <w:rsid w:val="6A841351"/>
    <w:rsid w:val="6A89664A"/>
    <w:rsid w:val="6C8F13AC"/>
    <w:rsid w:val="6D2A7C88"/>
    <w:rsid w:val="6E8F7245"/>
    <w:rsid w:val="6FA927C2"/>
    <w:rsid w:val="71536F6A"/>
    <w:rsid w:val="719122C6"/>
    <w:rsid w:val="73BE248D"/>
    <w:rsid w:val="74B04184"/>
    <w:rsid w:val="74DB5BB1"/>
    <w:rsid w:val="74F556BF"/>
    <w:rsid w:val="75470F72"/>
    <w:rsid w:val="75910E22"/>
    <w:rsid w:val="76217643"/>
    <w:rsid w:val="76580403"/>
    <w:rsid w:val="767903C9"/>
    <w:rsid w:val="77536AE1"/>
    <w:rsid w:val="77A5479D"/>
    <w:rsid w:val="78E67E0C"/>
    <w:rsid w:val="79B13B1C"/>
    <w:rsid w:val="7BD73F04"/>
    <w:rsid w:val="7C3272AC"/>
    <w:rsid w:val="7E2D54C8"/>
    <w:rsid w:val="7EB13D6D"/>
    <w:rsid w:val="7FEB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spacing w:val="0"/>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822</Characters>
  <Lines>0</Lines>
  <Paragraphs>0</Paragraphs>
  <TotalTime>0</TotalTime>
  <ScaleCrop>false</ScaleCrop>
  <LinksUpToDate>false</LinksUpToDate>
  <CharactersWithSpaces>825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2022-04-13T01:51:00Z</dcterms:created>
  <dc:creator>刘峰</dc:creator>
  <cp:lastModifiedBy>尼古拉斯-熊本峰</cp:lastModifiedBy>
  <dcterms:modified xsi:type="dcterms:W3CDTF">2024-08-09T02:02:59Z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5DE2A9D6CC2F4AFC960B8612EA8080AE_12</vt:lpwstr>
  </property>
</Properties>
</file>