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36"/>
          <w:szCs w:val="36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4组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公务艇螺旋桨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组件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项目编号：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>SZEMC-2024HW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  <w:t>008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785"/>
        <w:gridCol w:w="1108"/>
        <w:gridCol w:w="851"/>
        <w:gridCol w:w="854"/>
        <w:gridCol w:w="1061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3" w:hRule="atLeast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785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08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668950B9"/>
    <w:rsid w:val="6689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2024-07-02T08:49:00Z</dcterms:created>
  <dc:creator>Simone-</dc:creator>
  <cp:lastModifiedBy>Simone-</cp:lastModifiedBy>
  <dcterms:modified xsi:type="dcterms:W3CDTF">2024-07-02T08:50:02Z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F8CF5489F0B24BC98DC2D98A1C84EE7C_11</vt:lpwstr>
  </property>
</Properties>
</file>