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附件2</w:t>
      </w:r>
    </w:p>
    <w:p>
      <w:pPr>
        <w:spacing w:line="560" w:lineRule="exact"/>
        <w:jc w:val="center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sz w:val="36"/>
          <w:szCs w:val="36"/>
        </w:rPr>
        <w:t>报价单</w:t>
      </w:r>
    </w:p>
    <w:p>
      <w:pPr>
        <w:spacing w:line="560" w:lineRule="exact"/>
        <w:ind w:firstLine="240" w:firstLineChars="100"/>
        <w:rPr>
          <w:rFonts w:ascii="宋体" w:hAnsi="宋体" w:eastAsia="宋体" w:cs="宋体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项目名称：2024年职工观影券               项目编号：</w:t>
      </w:r>
      <w:r>
        <w:rPr>
          <w:rFonts w:hint="eastAsia" w:ascii="仿宋_GB2312" w:eastAsia="仿宋_GB2312" w:cs="Times New Roman" w:hAnsiTheme="majorEastAsia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仿宋_GB2312" w:eastAsia="仿宋_GB2312" w:cs="Times New Roman" w:hAnsiTheme="majorEastAsia"/>
          <w:sz w:val="28"/>
          <w:szCs w:val="28"/>
          <w:u w:val="none"/>
        </w:rPr>
        <w:t>SZEMC-2024HW</w:t>
      </w:r>
      <w:r>
        <w:rPr>
          <w:rFonts w:hint="eastAsia" w:ascii="仿宋_GB2312" w:eastAsia="仿宋_GB2312" w:cs="Times New Roman" w:hAnsiTheme="majorEastAsia"/>
          <w:sz w:val="28"/>
          <w:szCs w:val="28"/>
          <w:u w:val="none"/>
          <w:lang w:val="en-US" w:eastAsia="zh-CN"/>
        </w:rPr>
        <w:t xml:space="preserve">006 </w:t>
      </w:r>
      <w:r>
        <w:rPr>
          <w:rFonts w:ascii="宋体" w:hAnsi="宋体" w:eastAsia="宋体" w:cs="宋体"/>
          <w:sz w:val="22"/>
          <w:szCs w:val="22"/>
          <w:u w:val="none"/>
        </w:rPr>
        <w:t xml:space="preserve">  </w:t>
      </w:r>
      <w:r>
        <w:rPr>
          <w:rFonts w:ascii="宋体" w:hAnsi="宋体" w:eastAsia="宋体" w:cs="宋体"/>
          <w:sz w:val="24"/>
          <w:szCs w:val="24"/>
        </w:rPr>
        <w:t xml:space="preserve">   </w:t>
      </w:r>
    </w:p>
    <w:tbl>
      <w:tblPr>
        <w:tblStyle w:val="4"/>
        <w:tblW w:w="593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998"/>
        <w:gridCol w:w="2072"/>
        <w:gridCol w:w="855"/>
        <w:gridCol w:w="887"/>
        <w:gridCol w:w="1153"/>
        <w:gridCol w:w="1365"/>
        <w:gridCol w:w="1605"/>
        <w:gridCol w:w="13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  <w:r>
              <w:rPr>
                <w:rFonts w:hint="eastAsia" w:ascii="宋体" w:hAnsi="宋体"/>
                <w:spacing w:val="20"/>
                <w:sz w:val="24"/>
                <w:szCs w:val="24"/>
              </w:rPr>
              <w:t>序号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  <w:r>
              <w:rPr>
                <w:rFonts w:hint="eastAsia" w:ascii="宋体" w:hAnsi="宋体"/>
                <w:spacing w:val="20"/>
                <w:sz w:val="24"/>
                <w:szCs w:val="24"/>
              </w:rPr>
              <w:t>采购内容</w:t>
            </w:r>
          </w:p>
        </w:tc>
        <w:tc>
          <w:tcPr>
            <w:tcW w:w="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  <w:r>
              <w:rPr>
                <w:rFonts w:hint="eastAsia" w:ascii="宋体" w:hAnsi="宋体"/>
                <w:spacing w:val="20"/>
                <w:sz w:val="24"/>
                <w:szCs w:val="24"/>
              </w:rPr>
              <w:t>使用范围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Theme="minorEastAsia"/>
                <w:spacing w:val="2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pacing w:val="20"/>
                <w:sz w:val="24"/>
                <w:szCs w:val="24"/>
              </w:rPr>
              <w:t>数量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 w:cstheme="minorBidi"/>
                <w:spacing w:val="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pacing w:val="20"/>
                <w:sz w:val="24"/>
                <w:szCs w:val="24"/>
              </w:rPr>
              <w:t>单位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Theme="minorEastAsia"/>
                <w:spacing w:val="2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pacing w:val="20"/>
                <w:sz w:val="24"/>
                <w:szCs w:val="24"/>
                <w:lang w:val="en-US" w:eastAsia="zh-CN"/>
              </w:rPr>
              <w:t>每份观影券张数</w:t>
            </w:r>
          </w:p>
        </w:tc>
        <w:tc>
          <w:tcPr>
            <w:tcW w:w="6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  <w:r>
              <w:rPr>
                <w:rFonts w:hint="eastAsia" w:ascii="宋体" w:hAnsi="宋体"/>
                <w:spacing w:val="20"/>
                <w:sz w:val="24"/>
                <w:szCs w:val="24"/>
                <w:lang w:val="en-US" w:eastAsia="zh-CN"/>
              </w:rPr>
              <w:t>每张</w:t>
            </w:r>
            <w:r>
              <w:rPr>
                <w:rFonts w:hint="eastAsia" w:ascii="宋体" w:hAnsi="宋体"/>
                <w:spacing w:val="20"/>
                <w:sz w:val="24"/>
                <w:szCs w:val="24"/>
              </w:rPr>
              <w:t>券面价值（元）</w:t>
            </w:r>
          </w:p>
        </w:tc>
        <w:tc>
          <w:tcPr>
            <w:tcW w:w="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pacing w:val="2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pacing w:val="20"/>
                <w:sz w:val="24"/>
                <w:szCs w:val="24"/>
                <w:lang w:val="en-US" w:eastAsia="zh-CN"/>
              </w:rPr>
              <w:t>每份</w:t>
            </w:r>
            <w:r>
              <w:rPr>
                <w:rFonts w:hint="eastAsia" w:ascii="宋体" w:hAnsi="宋体"/>
                <w:spacing w:val="20"/>
                <w:sz w:val="24"/>
                <w:szCs w:val="24"/>
              </w:rPr>
              <w:t>券面价值（元）</w:t>
            </w: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pacing w:val="20"/>
                <w:sz w:val="24"/>
                <w:szCs w:val="24"/>
              </w:rPr>
            </w:pPr>
            <w:r>
              <w:rPr>
                <w:rFonts w:hint="eastAsia" w:ascii="宋体" w:hAnsi="宋体"/>
                <w:spacing w:val="20"/>
                <w:sz w:val="24"/>
                <w:szCs w:val="24"/>
                <w:lang w:val="en-US" w:eastAsia="zh-CN"/>
              </w:rPr>
              <w:t>观影券</w:t>
            </w:r>
            <w:r>
              <w:rPr>
                <w:rFonts w:hint="eastAsia" w:ascii="宋体" w:hAnsi="宋体"/>
                <w:spacing w:val="20"/>
                <w:sz w:val="24"/>
                <w:szCs w:val="24"/>
              </w:rPr>
              <w:t>总价</w:t>
            </w:r>
          </w:p>
          <w:p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  <w:r>
              <w:rPr>
                <w:rFonts w:hint="eastAsia" w:ascii="宋体" w:hAnsi="宋体"/>
                <w:spacing w:val="20"/>
                <w:sz w:val="24"/>
                <w:szCs w:val="24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  <w:r>
              <w:rPr>
                <w:rFonts w:hint="eastAsia" w:ascii="宋体" w:hAnsi="宋体"/>
                <w:spacing w:val="20"/>
                <w:sz w:val="24"/>
                <w:szCs w:val="24"/>
              </w:rPr>
              <w:t>1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 xml:space="preserve">观影券    </w:t>
            </w:r>
          </w:p>
        </w:tc>
        <w:tc>
          <w:tcPr>
            <w:tcW w:w="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Theme="minorEastAsia"/>
                <w:spacing w:val="2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pacing w:val="2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 w:cstheme="minorBidi"/>
                <w:spacing w:val="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pacing w:val="20"/>
                <w:sz w:val="24"/>
                <w:szCs w:val="24"/>
              </w:rPr>
              <w:t>份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</w:p>
        </w:tc>
        <w:tc>
          <w:tcPr>
            <w:tcW w:w="6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</w:p>
        </w:tc>
        <w:tc>
          <w:tcPr>
            <w:tcW w:w="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500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报价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合计（人民币）大写金额：           小写金额：（￥：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78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  <w:r>
              <w:rPr>
                <w:rFonts w:hint="eastAsia" w:ascii="宋体" w:hAnsi="宋体"/>
                <w:spacing w:val="20"/>
                <w:sz w:val="24"/>
                <w:szCs w:val="24"/>
              </w:rPr>
              <w:t>交货日期</w:t>
            </w:r>
          </w:p>
        </w:tc>
        <w:tc>
          <w:tcPr>
            <w:tcW w:w="4212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78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  <w:r>
              <w:rPr>
                <w:rFonts w:hint="eastAsia" w:ascii="宋体" w:hAnsi="宋体"/>
                <w:spacing w:val="20"/>
                <w:sz w:val="24"/>
                <w:szCs w:val="24"/>
              </w:rPr>
              <w:t>付款条件</w:t>
            </w:r>
          </w:p>
        </w:tc>
        <w:tc>
          <w:tcPr>
            <w:tcW w:w="4212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78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  <w:r>
              <w:rPr>
                <w:rFonts w:hint="eastAsia" w:ascii="宋体" w:hAnsi="宋体"/>
                <w:spacing w:val="20"/>
                <w:sz w:val="24"/>
                <w:szCs w:val="24"/>
              </w:rPr>
              <w:t>备注</w:t>
            </w:r>
          </w:p>
        </w:tc>
        <w:tc>
          <w:tcPr>
            <w:tcW w:w="4212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78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pacing w:val="2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pacing w:val="20"/>
                <w:sz w:val="24"/>
                <w:szCs w:val="24"/>
                <w:lang w:val="en-US" w:eastAsia="zh-CN"/>
              </w:rPr>
              <w:t>承诺</w:t>
            </w:r>
          </w:p>
        </w:tc>
        <w:tc>
          <w:tcPr>
            <w:tcW w:w="4212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480" w:firstLineChars="200"/>
              <w:rPr>
                <w:rFonts w:hint="eastAsia" w:asciiTheme="majorEastAsia" w:hAnsiTheme="majorEastAsia" w:eastAsiaTheme="majorEastAsia" w:cstheme="majorEastAsia"/>
                <w:sz w:val="24"/>
                <w:szCs w:val="24"/>
                <w:u w:val="none"/>
              </w:rPr>
            </w:pPr>
          </w:p>
          <w:p>
            <w:pPr>
              <w:ind w:firstLine="480" w:firstLineChars="200"/>
              <w:rPr>
                <w:rFonts w:hint="eastAsia" w:asciiTheme="majorEastAsia" w:hAnsiTheme="majorEastAsia" w:eastAsiaTheme="majorEastAsia" w:cstheme="majorEastAsia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u w:val="none"/>
              </w:rPr>
              <w:t>观影券使用范围需涵盖苏州大市范围内主要商圈影城，具备网络在线提前选座、线下取票等功能，保证2D、3D、IMAX影片通兑通看。券面有效期自2024年5月1日起不低于2年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u w:val="none"/>
                <w:lang w:eastAsia="zh-CN"/>
              </w:rPr>
              <w:t>。</w:t>
            </w:r>
            <w:bookmarkStart w:id="0" w:name="_GoBack"/>
            <w:bookmarkEnd w:id="0"/>
          </w:p>
          <w:p>
            <w:pPr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</w:p>
        </w:tc>
      </w:tr>
    </w:tbl>
    <w:p>
      <w:pPr>
        <w:pStyle w:val="3"/>
        <w:overflowPunct w:val="0"/>
        <w:snapToGrid w:val="0"/>
        <w:spacing w:line="560" w:lineRule="exact"/>
        <w:ind w:firstLine="0"/>
        <w:jc w:val="both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bCs/>
          <w:sz w:val="21"/>
          <w:szCs w:val="21"/>
        </w:rPr>
        <w:t>注：</w:t>
      </w:r>
      <w:r>
        <w:rPr>
          <w:rFonts w:hint="eastAsia" w:ascii="宋体" w:hAnsi="宋体" w:eastAsia="宋体"/>
          <w:sz w:val="21"/>
          <w:szCs w:val="21"/>
        </w:rPr>
        <w:t>报价包括完成</w:t>
      </w:r>
      <w:r>
        <w:rPr>
          <w:rFonts w:ascii="宋体" w:hAnsi="宋体" w:eastAsia="宋体"/>
          <w:sz w:val="21"/>
          <w:szCs w:val="21"/>
        </w:rPr>
        <w:t>本项目</w:t>
      </w:r>
      <w:r>
        <w:rPr>
          <w:rFonts w:hint="eastAsia" w:ascii="宋体" w:hAnsi="宋体" w:eastAsia="宋体"/>
          <w:sz w:val="21"/>
          <w:szCs w:val="21"/>
        </w:rPr>
        <w:t>所有</w:t>
      </w:r>
      <w:r>
        <w:rPr>
          <w:rFonts w:ascii="宋体" w:hAnsi="宋体" w:eastAsia="宋体"/>
          <w:sz w:val="21"/>
          <w:szCs w:val="21"/>
        </w:rPr>
        <w:t>服务</w:t>
      </w:r>
      <w:r>
        <w:rPr>
          <w:rFonts w:hint="eastAsia" w:ascii="宋体" w:hAnsi="宋体" w:eastAsia="宋体" w:cs="宋体"/>
          <w:sz w:val="21"/>
          <w:szCs w:val="21"/>
        </w:rPr>
        <w:t>所需的人工、材料、机械、管理、维护、保险、利润、税金、及合同包含的所有风险、责任等各项应有费用</w:t>
      </w:r>
      <w:r>
        <w:rPr>
          <w:rFonts w:hint="eastAsia" w:ascii="宋体" w:hAnsi="宋体" w:eastAsia="宋体"/>
          <w:sz w:val="21"/>
          <w:szCs w:val="21"/>
        </w:rPr>
        <w:t>等一切费用，采购人不再支付其他任何费用。</w:t>
      </w:r>
    </w:p>
    <w:p>
      <w:pPr>
        <w:spacing w:line="560" w:lineRule="exact"/>
        <w:ind w:firstLine="480" w:firstLineChars="200"/>
        <w:rPr>
          <w:rFonts w:ascii="仿宋_GB2312" w:eastAsia="仿宋_GB2312"/>
          <w:sz w:val="32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联系人：</w:t>
      </w:r>
    </w:p>
    <w:p>
      <w:pPr>
        <w:spacing w:line="56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联系方式：</w:t>
      </w:r>
    </w:p>
    <w:p>
      <w:pPr>
        <w:spacing w:line="56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</w:p>
    <w:p>
      <w:pPr>
        <w:spacing w:line="560" w:lineRule="exact"/>
        <w:ind w:firstLine="3600" w:firstLineChars="15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cs="Times New Roman" w:asciiTheme="majorEastAsia" w:hAnsiTheme="majorEastAsia" w:eastAsiaTheme="majorEastAsia"/>
          <w:sz w:val="24"/>
          <w:szCs w:val="24"/>
        </w:rPr>
        <w:t xml:space="preserve">        ********</w:t>
      </w:r>
      <w:r>
        <w:rPr>
          <w:rFonts w:hint="eastAsia" w:cs="Times New Roman" w:asciiTheme="majorEastAsia" w:hAnsiTheme="majorEastAsia" w:eastAsiaTheme="majorEastAsia"/>
          <w:sz w:val="24"/>
          <w:szCs w:val="24"/>
        </w:rPr>
        <w:t>（报价单位名称）（单位盖章）</w:t>
      </w:r>
    </w:p>
    <w:p>
      <w:pPr>
        <w:spacing w:line="560" w:lineRule="exact"/>
        <w:ind w:firstLine="6000" w:firstLineChars="2500"/>
        <w:rPr>
          <w:rFonts w:ascii="仿宋_GB2312" w:eastAsia="仿宋_GB2312" w:cs="Times New Roman" w:hAnsiTheme="majorEastAsia"/>
          <w:sz w:val="32"/>
          <w:szCs w:val="32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年   月   日</w:t>
      </w:r>
    </w:p>
    <w:p/>
    <w:sectPr>
      <w:pgSz w:w="11906" w:h="16838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TRkMTc3YjM1M2Y0MDVhMGQwNmRkMTZlNGJjZTgifQ=="/>
  </w:docVars>
  <w:rsids>
    <w:rsidRoot w:val="1DEB6439"/>
    <w:rsid w:val="0839291B"/>
    <w:rsid w:val="1DEB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autoRedefine/>
    <w:qFormat/>
    <w:uiPriority w:val="0"/>
    <w:pPr>
      <w:ind w:firstLine="480" w:firstLineChars="200"/>
    </w:pPr>
    <w:rPr>
      <w:lang w:val="zh-CN"/>
    </w:rPr>
  </w:style>
  <w:style w:type="paragraph" w:styleId="3">
    <w:name w:val="Normal Indent"/>
    <w:basedOn w:val="1"/>
    <w:qFormat/>
    <w:uiPriority w:val="0"/>
    <w:pPr>
      <w:adjustRightInd w:val="0"/>
      <w:ind w:firstLine="420"/>
      <w:jc w:val="left"/>
      <w:textAlignment w:val="baseline"/>
    </w:pPr>
    <w:rPr>
      <w:rFonts w:ascii="Times New Roman" w:hAnsi="Times New Roman" w:eastAsia="楷体_GB2312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2024-04-23T09:10:00Z</dcterms:created>
  <dc:creator>Simone-</dc:creator>
  <cp:lastModifiedBy>Simone-</cp:lastModifiedBy>
  <dcterms:modified xsi:type="dcterms:W3CDTF">2024-04-24T01:02:02Z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EEA12ED7D752442A96CEE96B47DBEA4F_11</vt:lpwstr>
  </property>
</Properties>
</file>