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苏州市新旗再生资源回收有限公司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企业法定代表人由钱永新变更为陈国欣，其它原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许可内容不变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原有效期不变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2021年7月14日-2021年7月20日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张家港市飞翔环保科技有限公司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焚烧处置HW08废矿物油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900-249-08、900-214-08废矿物油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60吨/年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HW09油/水、烃/水混合物或废乳化液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900-007-09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1250吨/年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HW11精（蒸）馏残渣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900-013-11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7650吨/年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HW13有机树脂类废物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265-102-46、265-104-13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130吨/年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HW49其他废物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900-039-49、900-041-49、900-046-49、900-047-49、900-999-49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810吨/年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合计9900吨/年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2021年7月-2022年7月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2021年7月14日-2021年7月20日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46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2021-07-14T07:21:41Z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