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DD5" w:rsidRDefault="00F70DD5">
      <w:pPr>
        <w:rPr>
          <w:rFonts w:eastAsia="仿宋_GB2312"/>
          <w:sz w:val="30"/>
        </w:rPr>
      </w:pPr>
    </w:p>
    <w:p w:rsidR="00F70DD5" w:rsidRDefault="00BE0E9A">
      <w:pPr>
        <w:spacing w:line="360" w:lineRule="auto"/>
        <w:jc w:val="center"/>
        <w:rPr>
          <w:rFonts w:ascii="黑体" w:eastAsia="黑体" w:hAnsi="黑体"/>
          <w:sz w:val="32"/>
          <w:szCs w:val="32"/>
        </w:rPr>
      </w:pPr>
      <w:r>
        <w:rPr>
          <w:rFonts w:ascii="黑体" w:eastAsia="黑体" w:hAnsi="黑体" w:hint="eastAsia"/>
          <w:sz w:val="32"/>
          <w:szCs w:val="32"/>
        </w:rPr>
        <w:t>苏州市市级预算部门（单位）整体支出预算绩效自评报告</w:t>
      </w:r>
    </w:p>
    <w:p w:rsidR="00F70DD5" w:rsidRDefault="00BE0E9A">
      <w:pPr>
        <w:spacing w:line="360" w:lineRule="auto"/>
        <w:jc w:val="center"/>
        <w:rPr>
          <w:rFonts w:ascii="黑体" w:eastAsia="黑体"/>
          <w:sz w:val="32"/>
          <w:szCs w:val="32"/>
        </w:rPr>
      </w:pPr>
      <w:r>
        <w:rPr>
          <w:rFonts w:ascii="黑体" w:eastAsia="黑体" w:hint="eastAsia"/>
          <w:sz w:val="32"/>
          <w:szCs w:val="32"/>
        </w:rPr>
        <w:t>（</w:t>
      </w:r>
      <w:r w:rsidR="00693D54">
        <w:rPr>
          <w:rFonts w:ascii="黑体" w:eastAsia="黑体" w:hint="eastAsia"/>
          <w:sz w:val="32"/>
          <w:szCs w:val="32"/>
        </w:rPr>
        <w:t>2023</w:t>
      </w:r>
      <w:r>
        <w:rPr>
          <w:rFonts w:ascii="黑体" w:eastAsia="黑体" w:hint="eastAsia"/>
          <w:sz w:val="32"/>
          <w:szCs w:val="32"/>
        </w:rPr>
        <w:t>年度）</w:t>
      </w:r>
    </w:p>
    <w:p w:rsidR="00F70DD5" w:rsidRDefault="00F70DD5">
      <w:pPr>
        <w:spacing w:line="360" w:lineRule="auto"/>
        <w:jc w:val="center"/>
        <w:rPr>
          <w:rFonts w:eastAsia="仿宋_GB2312"/>
          <w:sz w:val="30"/>
        </w:rPr>
      </w:pPr>
    </w:p>
    <w:p w:rsidR="00F70DD5" w:rsidRDefault="00BE0E9A">
      <w:pPr>
        <w:spacing w:line="360" w:lineRule="auto"/>
        <w:ind w:firstLineChars="200" w:firstLine="600"/>
        <w:rPr>
          <w:rFonts w:ascii="黑体" w:eastAsia="黑体" w:hAnsi="黑体"/>
          <w:sz w:val="30"/>
        </w:rPr>
      </w:pPr>
      <w:r>
        <w:rPr>
          <w:rFonts w:ascii="黑体" w:eastAsia="黑体" w:hAnsi="黑体" w:hint="eastAsia"/>
          <w:sz w:val="30"/>
        </w:rPr>
        <w:t>一、预算部门名称：</w:t>
      </w:r>
      <w:r>
        <w:rPr>
          <w:rFonts w:ascii="宋体" w:hAnsi="宋体" w:cs="宋体" w:hint="eastAsia"/>
          <w:sz w:val="24"/>
        </w:rPr>
        <w:t>苏州市环境监测站</w:t>
      </w:r>
    </w:p>
    <w:p w:rsidR="00F70DD5" w:rsidRDefault="00BE0E9A">
      <w:pPr>
        <w:spacing w:line="360" w:lineRule="auto"/>
        <w:ind w:firstLineChars="200" w:firstLine="600"/>
        <w:rPr>
          <w:rFonts w:ascii="黑体" w:eastAsia="黑体" w:hAnsi="黑体"/>
          <w:sz w:val="30"/>
        </w:rPr>
      </w:pPr>
      <w:r>
        <w:rPr>
          <w:rFonts w:ascii="黑体" w:eastAsia="黑体" w:hAnsi="黑体" w:hint="eastAsia"/>
          <w:sz w:val="30"/>
        </w:rPr>
        <w:t>二、</w:t>
      </w:r>
      <w:r>
        <w:rPr>
          <w:rFonts w:ascii="黑体" w:eastAsia="黑体" w:hAnsi="黑体"/>
          <w:sz w:val="30"/>
        </w:rPr>
        <w:t>年度履职目标完成情况</w:t>
      </w:r>
      <w:r>
        <w:rPr>
          <w:rFonts w:ascii="黑体" w:eastAsia="黑体" w:hAnsi="黑体" w:hint="eastAsia"/>
          <w:sz w:val="30"/>
        </w:rPr>
        <w:t>：</w:t>
      </w:r>
    </w:p>
    <w:p w:rsidR="007908B5" w:rsidRPr="007908B5" w:rsidRDefault="007908B5" w:rsidP="007908B5">
      <w:pPr>
        <w:spacing w:line="360" w:lineRule="auto"/>
        <w:ind w:firstLineChars="200" w:firstLine="480"/>
        <w:rPr>
          <w:rFonts w:ascii="宋体" w:hAnsi="宋体" w:cs="宋体"/>
          <w:sz w:val="24"/>
        </w:rPr>
      </w:pPr>
      <w:r w:rsidRPr="007908B5">
        <w:rPr>
          <w:rFonts w:ascii="宋体" w:hAnsi="宋体" w:cs="宋体"/>
          <w:sz w:val="24"/>
        </w:rPr>
        <w:t>（一）有序推进监测基础和特色能力建设</w:t>
      </w:r>
    </w:p>
    <w:p w:rsidR="007908B5" w:rsidRPr="007908B5" w:rsidRDefault="007908B5" w:rsidP="007908B5">
      <w:pPr>
        <w:spacing w:line="360" w:lineRule="auto"/>
        <w:ind w:firstLineChars="200" w:firstLine="480"/>
        <w:rPr>
          <w:rFonts w:ascii="宋体" w:hAnsi="宋体" w:cs="宋体"/>
          <w:sz w:val="24"/>
        </w:rPr>
      </w:pPr>
      <w:r w:rsidRPr="007908B5">
        <w:rPr>
          <w:rFonts w:ascii="宋体" w:hAnsi="宋体" w:cs="宋体"/>
          <w:sz w:val="24"/>
        </w:rPr>
        <w:t>检验检测机构资质认定能力进一步提升，覆盖废水、废气中常规因子、重金属和噪声等，基本满足市本级日常执法需求；完成省生态环境监测机构应急监测能力评估工作，达到良好以上水平，应急监测能力在全省市级监测监控机构中位于前三。新添置执法、应急及实验分析设备、无人机等新型装备，为基础能力的提升提供良好的装备保障。核与辐射监测特色能力持续增强，在全省生态环境辐射监测技能竞赛中取得优异成绩。</w:t>
      </w:r>
    </w:p>
    <w:p w:rsidR="007908B5" w:rsidRPr="007908B5" w:rsidRDefault="007908B5" w:rsidP="007908B5">
      <w:pPr>
        <w:spacing w:line="360" w:lineRule="auto"/>
        <w:ind w:firstLineChars="200" w:firstLine="480"/>
        <w:rPr>
          <w:rFonts w:ascii="宋体" w:hAnsi="宋体" w:cs="宋体"/>
          <w:sz w:val="24"/>
        </w:rPr>
      </w:pPr>
      <w:r w:rsidRPr="007908B5">
        <w:rPr>
          <w:rFonts w:ascii="宋体" w:hAnsi="宋体" w:cs="宋体"/>
          <w:sz w:val="24"/>
        </w:rPr>
        <w:t>（二）有效提高固定污染源非现场监管能力</w:t>
      </w:r>
    </w:p>
    <w:p w:rsidR="007908B5" w:rsidRPr="007908B5" w:rsidRDefault="007908B5" w:rsidP="007908B5">
      <w:pPr>
        <w:spacing w:line="360" w:lineRule="auto"/>
        <w:ind w:firstLineChars="200" w:firstLine="480"/>
        <w:rPr>
          <w:rFonts w:ascii="宋体" w:hAnsi="宋体" w:cs="宋体"/>
          <w:sz w:val="24"/>
        </w:rPr>
      </w:pPr>
      <w:r w:rsidRPr="007908B5">
        <w:rPr>
          <w:rFonts w:ascii="宋体" w:hAnsi="宋体" w:cs="宋体"/>
          <w:sz w:val="24"/>
        </w:rPr>
        <w:t>完成重点排污单位有自动监控要求的排口和因子全覆盖联网，成立苏州市污染源非现场监管工作专班并有效运转，构建了“以自动监测监控为核心，以打击监控数据弄虚作假为目标”的固定污染源非现场监管工作机制，建立健全了自动监测异常数据问题线索处置程序，不断提高涉嫌环境违法行为线索识别的精准性、科学性。在省级指挥调度工作基础上，进一步加强排污单位自动监控异常数据市级调度处置，细化了上下联动开展异常数据调度处置的工作流程，加强了对污染源监控异常数据线索的应用。</w:t>
      </w:r>
    </w:p>
    <w:p w:rsidR="007908B5" w:rsidRPr="007908B5" w:rsidRDefault="007908B5" w:rsidP="007908B5">
      <w:pPr>
        <w:spacing w:line="360" w:lineRule="auto"/>
        <w:ind w:firstLineChars="200" w:firstLine="480"/>
        <w:rPr>
          <w:rFonts w:ascii="宋体" w:hAnsi="宋体" w:cs="宋体"/>
          <w:sz w:val="24"/>
        </w:rPr>
      </w:pPr>
      <w:r w:rsidRPr="007908B5">
        <w:rPr>
          <w:rFonts w:ascii="宋体" w:hAnsi="宋体" w:cs="宋体"/>
          <w:sz w:val="24"/>
        </w:rPr>
        <w:t>（三）有力推进监测监控管理效能持续增强</w:t>
      </w:r>
    </w:p>
    <w:p w:rsidR="007908B5" w:rsidRPr="007908B5" w:rsidRDefault="007908B5" w:rsidP="007908B5">
      <w:pPr>
        <w:spacing w:line="360" w:lineRule="auto"/>
        <w:ind w:firstLineChars="200" w:firstLine="480"/>
        <w:rPr>
          <w:rFonts w:ascii="宋体" w:hAnsi="宋体" w:cs="宋体"/>
          <w:sz w:val="24"/>
        </w:rPr>
      </w:pPr>
      <w:r w:rsidRPr="007908B5">
        <w:rPr>
          <w:rFonts w:ascii="宋体" w:hAnsi="宋体" w:cs="宋体"/>
          <w:sz w:val="24"/>
        </w:rPr>
        <w:t>印发并落实服务环境管理清单，为管理部门年度重点目标任务的达成提供支撑服务。承担各类环境要素站网的优化布设和调整。编制全市“十四五”市考（控）地表水监测点位清单并动态优化；培训指导全市有序开展</w:t>
      </w:r>
      <w:proofErr w:type="gramStart"/>
      <w:r w:rsidRPr="007908B5">
        <w:rPr>
          <w:rFonts w:ascii="宋体" w:hAnsi="宋体" w:cs="宋体"/>
          <w:sz w:val="24"/>
        </w:rPr>
        <w:t>功能区声环境质量</w:t>
      </w:r>
      <w:proofErr w:type="gramEnd"/>
      <w:r w:rsidRPr="007908B5">
        <w:rPr>
          <w:rFonts w:ascii="宋体" w:hAnsi="宋体" w:cs="宋体"/>
          <w:sz w:val="24"/>
        </w:rPr>
        <w:t>监测点位核查工作，编制完成全市</w:t>
      </w:r>
      <w:proofErr w:type="gramStart"/>
      <w:r w:rsidRPr="007908B5">
        <w:rPr>
          <w:rFonts w:ascii="宋体" w:hAnsi="宋体" w:cs="宋体"/>
          <w:sz w:val="24"/>
        </w:rPr>
        <w:t>国控功能</w:t>
      </w:r>
      <w:proofErr w:type="gramEnd"/>
      <w:r w:rsidRPr="007908B5">
        <w:rPr>
          <w:rFonts w:ascii="宋体" w:hAnsi="宋体" w:cs="宋体"/>
          <w:sz w:val="24"/>
        </w:rPr>
        <w:t>区噪声自动站网的优化调整方案并组织论证四县市功能区噪声点位优化调整工作；协助完成全市碳监测试点工作3个监测站网的布设。</w:t>
      </w:r>
    </w:p>
    <w:p w:rsidR="007908B5" w:rsidRPr="007908B5" w:rsidRDefault="007908B5" w:rsidP="007908B5">
      <w:pPr>
        <w:spacing w:line="360" w:lineRule="auto"/>
        <w:ind w:firstLineChars="200" w:firstLine="480"/>
        <w:rPr>
          <w:rFonts w:ascii="宋体" w:hAnsi="宋体" w:cs="宋体"/>
          <w:sz w:val="24"/>
        </w:rPr>
      </w:pPr>
      <w:r w:rsidRPr="007908B5">
        <w:rPr>
          <w:rFonts w:ascii="宋体" w:hAnsi="宋体" w:cs="宋体"/>
          <w:sz w:val="24"/>
        </w:rPr>
        <w:t>承担时效性要求高的综合分析报告。包括大气污染成因分析、重点单位污染源排放情况分析、国省考断面水质波动数据质询和溯源、阳澄湖心水质达标阶段性分析等。</w:t>
      </w:r>
    </w:p>
    <w:p w:rsidR="007908B5" w:rsidRPr="007908B5" w:rsidRDefault="007908B5" w:rsidP="007908B5">
      <w:pPr>
        <w:spacing w:line="360" w:lineRule="auto"/>
        <w:ind w:firstLineChars="200" w:firstLine="480"/>
        <w:rPr>
          <w:rFonts w:ascii="宋体" w:hAnsi="宋体" w:cs="宋体"/>
          <w:sz w:val="24"/>
        </w:rPr>
      </w:pPr>
      <w:r w:rsidRPr="007908B5">
        <w:rPr>
          <w:rFonts w:ascii="宋体" w:hAnsi="宋体" w:cs="宋体"/>
          <w:sz w:val="24"/>
        </w:rPr>
        <w:lastRenderedPageBreak/>
        <w:t>组织保障自动站网规范运行和数据有效。保障已建成各类自动</w:t>
      </w:r>
      <w:proofErr w:type="gramStart"/>
      <w:r w:rsidRPr="007908B5">
        <w:rPr>
          <w:rFonts w:ascii="宋体" w:hAnsi="宋体" w:cs="宋体"/>
          <w:sz w:val="24"/>
        </w:rPr>
        <w:t>站数据</w:t>
      </w:r>
      <w:proofErr w:type="gramEnd"/>
      <w:r w:rsidRPr="007908B5">
        <w:rPr>
          <w:rFonts w:ascii="宋体" w:hAnsi="宋体" w:cs="宋体"/>
          <w:sz w:val="24"/>
        </w:rPr>
        <w:t>国家联网并对原始数据开展审核分析，确保多口径监测数据真实、准确、全面。全力做好亚运会、污染防治攻坚战、太湖水质安全度夏等关键节点监测保障。</w:t>
      </w:r>
    </w:p>
    <w:p w:rsidR="00F70DD5" w:rsidRDefault="00BE0E9A">
      <w:pPr>
        <w:spacing w:line="360" w:lineRule="auto"/>
        <w:ind w:left="600"/>
        <w:rPr>
          <w:rFonts w:ascii="黑体" w:eastAsia="黑体" w:hAnsi="黑体"/>
          <w:sz w:val="30"/>
        </w:rPr>
      </w:pPr>
      <w:r>
        <w:rPr>
          <w:rFonts w:ascii="黑体" w:eastAsia="黑体" w:hAnsi="黑体" w:hint="eastAsia"/>
          <w:sz w:val="30"/>
        </w:rPr>
        <w:t>三、部门（单位）概况</w:t>
      </w:r>
    </w:p>
    <w:p w:rsidR="00F70DD5" w:rsidRDefault="00BE0E9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贯彻执行《中华人民共和国环境保护法》《江苏省生态环境监测条例》及有关环境保护和环境监测的法律、法规、标准、技术规范和管理制度。(二)参与拟订全市生态环境监测监控发展规划、计划，编制年度监测监控工作要点和方案，并组织实施;对驻各县级市(区)环境监测站(环境监控中心)开展业务指导和培训。(三)负责全市生态环境监测监控业务管理，负责规范全市环境质量专项监测、污染源监督性监测、执法监测、应急监测、自动监测等各类环境监测工作流程，为开展业务考核评估提供依据。(四)承担全市生态环境监测监控网络建设、运行、维护和管理工作。(五)负责管理全市环境监测监控数据，承担全市环境监测监控数据的传输、审核、报送工作;负责环境监测、监控信息的分析</w:t>
      </w:r>
      <w:proofErr w:type="gramStart"/>
      <w:r>
        <w:rPr>
          <w:rFonts w:ascii="宋体" w:hAnsi="宋体" w:cs="宋体" w:hint="eastAsia"/>
          <w:sz w:val="24"/>
        </w:rPr>
        <w:t>研</w:t>
      </w:r>
      <w:proofErr w:type="gramEnd"/>
      <w:r>
        <w:rPr>
          <w:rFonts w:ascii="宋体" w:hAnsi="宋体" w:cs="宋体" w:hint="eastAsia"/>
          <w:sz w:val="24"/>
        </w:rPr>
        <w:t>判和预警，编制各类环境监测监控报告;参与环境监测监控信息公开，为环境管理提供技术支撑。(六)负责市级环境管理专项监测、应急监测、辐射环境监测以及跨区域污染源执法监测，参与重大环境问题专项调查监测，协助开展市内突发环境事件应急监测工作。(七)负责环</w:t>
      </w:r>
      <w:bookmarkStart w:id="0" w:name="_GoBack"/>
      <w:bookmarkEnd w:id="0"/>
      <w:r>
        <w:rPr>
          <w:rFonts w:ascii="宋体" w:hAnsi="宋体" w:cs="宋体" w:hint="eastAsia"/>
          <w:sz w:val="24"/>
        </w:rPr>
        <w:t>境监测、监控质量保证与质量控制工作，提供环境监测、监控技术培训，协助开展对购买社会化环境监测监控服务和对全市环境监(检)测监控机构的监督管理。(八)参与全市重点污染源自行监测管理，承担技术指导、培训和方案审核。(九)承担环境监测相关科研工作，参与各类环境保护专项课题研究。(十)承办上级交办的其他任务。</w:t>
      </w:r>
    </w:p>
    <w:p w:rsidR="00F70DD5" w:rsidRDefault="00BE0E9A">
      <w:pPr>
        <w:spacing w:line="360" w:lineRule="auto"/>
        <w:ind w:left="600"/>
        <w:rPr>
          <w:rFonts w:ascii="黑体" w:eastAsia="黑体" w:hAnsi="黑体"/>
          <w:sz w:val="30"/>
        </w:rPr>
      </w:pPr>
      <w:r>
        <w:rPr>
          <w:rFonts w:ascii="黑体" w:eastAsia="黑体" w:hAnsi="黑体" w:hint="eastAsia"/>
          <w:sz w:val="30"/>
        </w:rPr>
        <w:t>四、部门</w:t>
      </w:r>
      <w:r>
        <w:rPr>
          <w:rFonts w:ascii="黑体" w:eastAsia="黑体" w:hAnsi="黑体"/>
          <w:sz w:val="30"/>
        </w:rPr>
        <w:t>（</w:t>
      </w:r>
      <w:r>
        <w:rPr>
          <w:rFonts w:ascii="黑体" w:eastAsia="黑体" w:hAnsi="黑体" w:hint="eastAsia"/>
          <w:sz w:val="30"/>
        </w:rPr>
        <w:t>单位</w:t>
      </w:r>
      <w:r>
        <w:rPr>
          <w:rFonts w:ascii="黑体" w:eastAsia="黑体" w:hAnsi="黑体"/>
          <w:sz w:val="30"/>
        </w:rPr>
        <w:t>）</w:t>
      </w:r>
      <w:r>
        <w:rPr>
          <w:rFonts w:ascii="黑体" w:eastAsia="黑体" w:hAnsi="黑体" w:hint="eastAsia"/>
          <w:sz w:val="30"/>
        </w:rPr>
        <w:t>整体支出绩效实现情况</w:t>
      </w:r>
    </w:p>
    <w:p w:rsidR="00F70DD5" w:rsidRDefault="00BE0E9A">
      <w:pPr>
        <w:spacing w:line="360" w:lineRule="auto"/>
        <w:ind w:firstLineChars="200" w:firstLine="480"/>
        <w:rPr>
          <w:rFonts w:ascii="宋体" w:hAnsi="宋体" w:cs="宋体"/>
          <w:sz w:val="24"/>
        </w:rPr>
      </w:pPr>
      <w:r>
        <w:rPr>
          <w:rFonts w:ascii="宋体" w:hAnsi="宋体" w:cs="宋体" w:hint="eastAsia"/>
          <w:sz w:val="24"/>
        </w:rPr>
        <w:t>2023年度部门预算总金额为1080.2万元，本年总支出1072.34万元(基本支出1026.92万元、项目支出45.42万元)，年末无结转和结余。本年预算执行率为99.27%。</w:t>
      </w:r>
    </w:p>
    <w:p w:rsidR="00F70DD5" w:rsidRDefault="00BE0E9A">
      <w:pPr>
        <w:spacing w:line="360" w:lineRule="auto"/>
        <w:ind w:left="600"/>
        <w:rPr>
          <w:rFonts w:ascii="黑体" w:eastAsia="黑体" w:hAnsi="黑体"/>
          <w:sz w:val="30"/>
        </w:rPr>
      </w:pPr>
      <w:r>
        <w:rPr>
          <w:rFonts w:ascii="黑体" w:eastAsia="黑体" w:hAnsi="黑体" w:hint="eastAsia"/>
          <w:sz w:val="30"/>
        </w:rPr>
        <w:t>五、部门</w:t>
      </w:r>
      <w:r>
        <w:rPr>
          <w:rFonts w:ascii="黑体" w:eastAsia="黑体" w:hAnsi="黑体"/>
          <w:sz w:val="30"/>
        </w:rPr>
        <w:t>（</w:t>
      </w:r>
      <w:r>
        <w:rPr>
          <w:rFonts w:ascii="黑体" w:eastAsia="黑体" w:hAnsi="黑体" w:hint="eastAsia"/>
          <w:sz w:val="30"/>
        </w:rPr>
        <w:t>单位</w:t>
      </w:r>
      <w:r>
        <w:rPr>
          <w:rFonts w:ascii="黑体" w:eastAsia="黑体" w:hAnsi="黑体"/>
          <w:sz w:val="30"/>
        </w:rPr>
        <w:t>）</w:t>
      </w:r>
      <w:r>
        <w:rPr>
          <w:rFonts w:ascii="黑体" w:eastAsia="黑体" w:hAnsi="黑体" w:hint="eastAsia"/>
          <w:sz w:val="30"/>
        </w:rPr>
        <w:t>整体支出绩效中存</w:t>
      </w:r>
      <w:r>
        <w:rPr>
          <w:rFonts w:ascii="黑体" w:eastAsia="黑体" w:hAnsi="黑体"/>
          <w:sz w:val="30"/>
        </w:rPr>
        <w:t>在问题</w:t>
      </w:r>
      <w:r>
        <w:rPr>
          <w:rFonts w:ascii="黑体" w:eastAsia="黑体" w:hAnsi="黑体" w:hint="eastAsia"/>
          <w:sz w:val="30"/>
        </w:rPr>
        <w:t>及</w:t>
      </w:r>
      <w:r>
        <w:rPr>
          <w:rFonts w:ascii="黑体" w:eastAsia="黑体" w:hAnsi="黑体"/>
          <w:sz w:val="30"/>
        </w:rPr>
        <w:t>改进措施</w:t>
      </w:r>
    </w:p>
    <w:p w:rsidR="00F70DD5" w:rsidRDefault="00BE0E9A">
      <w:pPr>
        <w:spacing w:line="360" w:lineRule="auto"/>
        <w:ind w:firstLineChars="200" w:firstLine="480"/>
        <w:rPr>
          <w:rFonts w:ascii="宋体" w:hAnsi="宋体" w:cs="宋体"/>
          <w:sz w:val="24"/>
        </w:rPr>
      </w:pPr>
      <w:r>
        <w:rPr>
          <w:rFonts w:ascii="宋体" w:hAnsi="宋体" w:cs="宋体" w:hint="eastAsia"/>
          <w:sz w:val="24"/>
        </w:rPr>
        <w:t>一、存在问题1、资金使用效率仍有提升空间，预算执行率未达100%；2、绩效管理质量仍需提升，主要涉及绩效指标合理性和绩效目标值科学性，仍有提升空间。二、改进措施1、是加快各项工作开展和资金支出进度，合理消化结余结转资金，提升资金使用效率与效益；2、是加强预算绩效管理水平，切实提高部门全过程预算绩效管理的综合能力。</w:t>
      </w:r>
    </w:p>
    <w:p w:rsidR="00F70DD5" w:rsidRDefault="00BE0E9A">
      <w:pPr>
        <w:spacing w:line="360" w:lineRule="auto"/>
        <w:ind w:left="600"/>
        <w:rPr>
          <w:rFonts w:ascii="黑体" w:eastAsia="黑体" w:hAnsi="黑体"/>
          <w:sz w:val="30"/>
        </w:rPr>
      </w:pPr>
      <w:r>
        <w:rPr>
          <w:rFonts w:ascii="黑体" w:eastAsia="黑体" w:hAnsi="黑体" w:hint="eastAsia"/>
          <w:sz w:val="30"/>
        </w:rPr>
        <w:lastRenderedPageBreak/>
        <w:t>六、</w:t>
      </w:r>
      <w:r>
        <w:rPr>
          <w:rFonts w:ascii="黑体" w:eastAsia="黑体" w:hAnsi="黑体"/>
          <w:sz w:val="30"/>
        </w:rPr>
        <w:t>绩效自评</w:t>
      </w:r>
      <w:r>
        <w:rPr>
          <w:rFonts w:ascii="黑体" w:eastAsia="黑体" w:hAnsi="黑体" w:hint="eastAsia"/>
          <w:sz w:val="30"/>
        </w:rPr>
        <w:t>结果</w:t>
      </w:r>
      <w:r>
        <w:rPr>
          <w:rFonts w:ascii="黑体" w:eastAsia="黑体" w:hAnsi="黑体"/>
          <w:sz w:val="30"/>
        </w:rPr>
        <w:t>拟应用和公开</w:t>
      </w:r>
      <w:r>
        <w:rPr>
          <w:rFonts w:ascii="黑体" w:eastAsia="黑体" w:hAnsi="黑体" w:hint="eastAsia"/>
          <w:sz w:val="30"/>
        </w:rPr>
        <w:t>情况</w:t>
      </w:r>
    </w:p>
    <w:p w:rsidR="00F70DD5" w:rsidRDefault="00BE0E9A">
      <w:pPr>
        <w:spacing w:line="360" w:lineRule="auto"/>
        <w:ind w:firstLineChars="200" w:firstLine="480"/>
        <w:rPr>
          <w:rFonts w:ascii="宋体" w:hAnsi="宋体" w:cs="宋体"/>
          <w:sz w:val="24"/>
        </w:rPr>
      </w:pPr>
      <w:r>
        <w:rPr>
          <w:rFonts w:ascii="宋体" w:hAnsi="宋体" w:cs="宋体" w:hint="eastAsia"/>
          <w:sz w:val="24"/>
        </w:rPr>
        <w:t>我单位依照《苏州市市级预算绩效管理成果应用暂行办法》将绩效自评结果作为完善政策和改进管理的重要依据，与预算挂钩，与考核、问责挂钩，同时加强评价结果的应用，对有效支出安排预算、低效支出压减预算、无效支出进行问责，切实提高部门预算绩效管理水平。本自评报告和自评表在市财政局审核通过后，我单位将于规定时间内在“省财政厅预决算统一公开系统”和苏州市生态环境局门户网站上公开。</w:t>
      </w:r>
    </w:p>
    <w:p w:rsidR="00F70DD5" w:rsidRDefault="00F70DD5">
      <w:pPr>
        <w:spacing w:line="360" w:lineRule="auto"/>
        <w:rPr>
          <w:rFonts w:ascii="黑体" w:eastAsia="黑体" w:hAnsi="黑体"/>
          <w:sz w:val="30"/>
        </w:rPr>
        <w:sectPr w:rsidR="00F70DD5">
          <w:headerReference w:type="even" r:id="rId7"/>
          <w:headerReference w:type="default" r:id="rId8"/>
          <w:footerReference w:type="even" r:id="rId9"/>
          <w:footerReference w:type="default" r:id="rId10"/>
          <w:pgSz w:w="11907" w:h="16840"/>
          <w:pgMar w:top="1247" w:right="1400" w:bottom="1089" w:left="1559" w:header="851" w:footer="992" w:gutter="0"/>
          <w:paperSrc w:first="15" w:other="15"/>
          <w:cols w:space="720"/>
          <w:docGrid w:type="lines" w:linePitch="312"/>
        </w:sectPr>
      </w:pPr>
    </w:p>
    <w:p w:rsidR="00F70DD5" w:rsidRDefault="00BE0E9A">
      <w:pPr>
        <w:numPr>
          <w:ilvl w:val="0"/>
          <w:numId w:val="1"/>
        </w:numPr>
        <w:spacing w:line="360" w:lineRule="auto"/>
        <w:ind w:left="600"/>
        <w:rPr>
          <w:rFonts w:ascii="黑体" w:eastAsia="黑体" w:hAnsi="黑体"/>
          <w:sz w:val="30"/>
        </w:rPr>
      </w:pPr>
      <w:r>
        <w:rPr>
          <w:rFonts w:ascii="黑体" w:eastAsia="黑体" w:hAnsi="黑体" w:hint="eastAsia"/>
          <w:sz w:val="30"/>
        </w:rPr>
        <w:lastRenderedPageBreak/>
        <w:t>预算信息</w:t>
      </w:r>
    </w:p>
    <w:p w:rsidR="00F70DD5" w:rsidRDefault="00F70DD5">
      <w:pPr>
        <w:spacing w:line="360" w:lineRule="auto"/>
        <w:ind w:left="600"/>
        <w:rPr>
          <w:rFonts w:ascii="黑体" w:eastAsia="黑体" w:hAnsi="黑体"/>
          <w:sz w:val="30"/>
        </w:rPr>
      </w:pPr>
    </w:p>
    <w:tbl>
      <w:tblPr>
        <w:tblW w:w="1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9"/>
        <w:gridCol w:w="2268"/>
        <w:gridCol w:w="2268"/>
        <w:gridCol w:w="2268"/>
        <w:gridCol w:w="2268"/>
        <w:gridCol w:w="2268"/>
      </w:tblGrid>
      <w:tr w:rsidR="00F70DD5">
        <w:trPr>
          <w:trHeight w:val="339"/>
        </w:trPr>
        <w:tc>
          <w:tcPr>
            <w:tcW w:w="3079"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本年度预算资金（万元）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年初预算数（万元）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上年度结转及当年预算追加追减数(万元）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调整预算数（万元）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实际支出数（万元）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执行率（%)</w:t>
            </w:r>
          </w:p>
        </w:tc>
      </w:tr>
      <w:tr w:rsidR="004154F3">
        <w:trPr>
          <w:trHeight w:val="540"/>
        </w:trPr>
        <w:tc>
          <w:tcPr>
            <w:tcW w:w="3079" w:type="dxa"/>
            <w:vAlign w:val="center"/>
          </w:tcPr>
          <w:p w:rsidR="004154F3" w:rsidRDefault="008D5E82">
            <w:pPr>
              <w:widowControl/>
              <w:jc w:val="left"/>
              <w:rPr>
                <w:rFonts w:ascii="宋体" w:hAnsi="宋体" w:cs="宋体"/>
                <w:kern w:val="0"/>
                <w:sz w:val="24"/>
              </w:rPr>
            </w:pPr>
            <w:r>
              <w:rPr>
                <w:rFonts w:ascii="宋体" w:hAnsi="宋体" w:cs="宋体" w:hint="eastAsia"/>
                <w:sz w:val="24"/>
              </w:rPr>
              <w:t>预算总金额</w:t>
            </w:r>
          </w:p>
        </w:tc>
        <w:tc>
          <w:tcPr>
            <w:tcW w:w="2268" w:type="dxa"/>
            <w:vAlign w:val="center"/>
          </w:tcPr>
          <w:p w:rsidR="004154F3" w:rsidRDefault="008D5E82">
            <w:pPr>
              <w:widowControl/>
              <w:jc w:val="center"/>
              <w:rPr>
                <w:rFonts w:ascii="宋体" w:hAnsi="宋体" w:cs="宋体"/>
                <w:kern w:val="0"/>
                <w:sz w:val="24"/>
              </w:rPr>
            </w:pPr>
            <w:r>
              <w:rPr>
                <w:rFonts w:ascii="宋体" w:hAnsi="宋体" w:cs="宋体" w:hint="eastAsia"/>
                <w:sz w:val="24"/>
              </w:rPr>
              <w:t>759.38</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320.82</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1080.2</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1072.34</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99.27%</w:t>
            </w:r>
          </w:p>
        </w:tc>
      </w:tr>
      <w:tr w:rsidR="004154F3">
        <w:trPr>
          <w:trHeight w:val="540"/>
        </w:trPr>
        <w:tc>
          <w:tcPr>
            <w:tcW w:w="3079" w:type="dxa"/>
            <w:vAlign w:val="center"/>
          </w:tcPr>
          <w:p w:rsidR="004154F3" w:rsidRDefault="008D5E82">
            <w:pPr>
              <w:widowControl/>
              <w:jc w:val="left"/>
              <w:rPr>
                <w:rFonts w:ascii="宋体" w:hAnsi="宋体" w:cs="宋体"/>
                <w:kern w:val="0"/>
                <w:sz w:val="24"/>
              </w:rPr>
            </w:pPr>
            <w:r>
              <w:rPr>
                <w:rFonts w:ascii="宋体" w:hAnsi="宋体" w:cs="宋体" w:hint="eastAsia"/>
                <w:sz w:val="24"/>
              </w:rPr>
              <w:t>基本支出</w:t>
            </w:r>
          </w:p>
        </w:tc>
        <w:tc>
          <w:tcPr>
            <w:tcW w:w="2268" w:type="dxa"/>
            <w:vAlign w:val="center"/>
          </w:tcPr>
          <w:p w:rsidR="004154F3" w:rsidRDefault="008D5E82">
            <w:pPr>
              <w:widowControl/>
              <w:jc w:val="center"/>
              <w:rPr>
                <w:rFonts w:ascii="宋体" w:hAnsi="宋体" w:cs="宋体"/>
                <w:kern w:val="0"/>
                <w:sz w:val="24"/>
              </w:rPr>
            </w:pPr>
            <w:r>
              <w:rPr>
                <w:rFonts w:ascii="宋体" w:hAnsi="宋体" w:cs="宋体" w:hint="eastAsia"/>
                <w:sz w:val="24"/>
              </w:rPr>
              <w:t>712.48</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320.82</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1033.3</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1026.91</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99.38%</w:t>
            </w:r>
          </w:p>
        </w:tc>
      </w:tr>
      <w:tr w:rsidR="004154F3">
        <w:trPr>
          <w:trHeight w:val="540"/>
        </w:trPr>
        <w:tc>
          <w:tcPr>
            <w:tcW w:w="3079" w:type="dxa"/>
            <w:vAlign w:val="center"/>
          </w:tcPr>
          <w:p w:rsidR="004154F3" w:rsidRDefault="008D5E82">
            <w:pPr>
              <w:widowControl/>
              <w:jc w:val="left"/>
              <w:rPr>
                <w:rFonts w:ascii="宋体" w:hAnsi="宋体" w:cs="宋体"/>
                <w:kern w:val="0"/>
                <w:sz w:val="24"/>
              </w:rPr>
            </w:pPr>
            <w:r>
              <w:rPr>
                <w:rFonts w:ascii="宋体" w:hAnsi="宋体" w:cs="宋体" w:hint="eastAsia"/>
                <w:sz w:val="24"/>
              </w:rPr>
              <w:t>项目支出</w:t>
            </w:r>
          </w:p>
        </w:tc>
        <w:tc>
          <w:tcPr>
            <w:tcW w:w="2268" w:type="dxa"/>
            <w:vAlign w:val="center"/>
          </w:tcPr>
          <w:p w:rsidR="004154F3" w:rsidRDefault="008D5E82">
            <w:pPr>
              <w:widowControl/>
              <w:jc w:val="center"/>
              <w:rPr>
                <w:rFonts w:ascii="宋体" w:hAnsi="宋体" w:cs="宋体"/>
                <w:kern w:val="0"/>
                <w:sz w:val="24"/>
              </w:rPr>
            </w:pPr>
            <w:r>
              <w:rPr>
                <w:rFonts w:ascii="宋体" w:hAnsi="宋体" w:cs="宋体" w:hint="eastAsia"/>
                <w:sz w:val="24"/>
              </w:rPr>
              <w:t>46.9</w:t>
            </w:r>
          </w:p>
        </w:tc>
        <w:tc>
          <w:tcPr>
            <w:tcW w:w="2268" w:type="dxa"/>
            <w:vAlign w:val="center"/>
          </w:tcPr>
          <w:p w:rsidR="004154F3" w:rsidRDefault="004154F3">
            <w:pPr>
              <w:widowControl/>
              <w:jc w:val="center"/>
              <w:rPr>
                <w:rFonts w:ascii="宋体" w:hAnsi="宋体" w:cs="宋体"/>
                <w:sz w:val="24"/>
              </w:rPr>
            </w:pP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46.9</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45.42</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96.84%</w:t>
            </w:r>
          </w:p>
        </w:tc>
      </w:tr>
      <w:tr w:rsidR="004154F3">
        <w:trPr>
          <w:trHeight w:val="540"/>
        </w:trPr>
        <w:tc>
          <w:tcPr>
            <w:tcW w:w="3079" w:type="dxa"/>
            <w:vAlign w:val="center"/>
          </w:tcPr>
          <w:p w:rsidR="004154F3" w:rsidRDefault="008D5E82">
            <w:pPr>
              <w:widowControl/>
              <w:jc w:val="left"/>
              <w:rPr>
                <w:rFonts w:ascii="宋体" w:hAnsi="宋体" w:cs="宋体"/>
                <w:kern w:val="0"/>
                <w:sz w:val="24"/>
              </w:rPr>
            </w:pPr>
            <w:r>
              <w:rPr>
                <w:rFonts w:ascii="宋体" w:hAnsi="宋体" w:cs="宋体" w:hint="eastAsia"/>
                <w:sz w:val="24"/>
              </w:rPr>
              <w:t>职工体检费</w:t>
            </w:r>
          </w:p>
        </w:tc>
        <w:tc>
          <w:tcPr>
            <w:tcW w:w="2268" w:type="dxa"/>
            <w:vAlign w:val="center"/>
          </w:tcPr>
          <w:p w:rsidR="004154F3" w:rsidRDefault="008D5E82">
            <w:pPr>
              <w:widowControl/>
              <w:jc w:val="center"/>
              <w:rPr>
                <w:rFonts w:ascii="宋体" w:hAnsi="宋体" w:cs="宋体"/>
                <w:kern w:val="0"/>
                <w:sz w:val="24"/>
              </w:rPr>
            </w:pPr>
            <w:r>
              <w:rPr>
                <w:rFonts w:ascii="宋体" w:hAnsi="宋体" w:cs="宋体" w:hint="eastAsia"/>
                <w:sz w:val="24"/>
              </w:rPr>
              <w:t>5.22</w:t>
            </w:r>
          </w:p>
        </w:tc>
        <w:tc>
          <w:tcPr>
            <w:tcW w:w="2268" w:type="dxa"/>
            <w:vAlign w:val="center"/>
          </w:tcPr>
          <w:p w:rsidR="004154F3" w:rsidRDefault="004154F3">
            <w:pPr>
              <w:widowControl/>
              <w:jc w:val="center"/>
              <w:rPr>
                <w:rFonts w:ascii="宋体" w:hAnsi="宋体" w:cs="宋体"/>
                <w:sz w:val="24"/>
              </w:rPr>
            </w:pP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5.22</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5.22</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100.00%</w:t>
            </w:r>
          </w:p>
        </w:tc>
      </w:tr>
      <w:tr w:rsidR="004154F3">
        <w:trPr>
          <w:trHeight w:val="540"/>
        </w:trPr>
        <w:tc>
          <w:tcPr>
            <w:tcW w:w="3079" w:type="dxa"/>
            <w:vAlign w:val="center"/>
          </w:tcPr>
          <w:p w:rsidR="004154F3" w:rsidRDefault="008D5E82">
            <w:pPr>
              <w:widowControl/>
              <w:jc w:val="left"/>
              <w:rPr>
                <w:rFonts w:ascii="宋体" w:hAnsi="宋体" w:cs="宋体"/>
                <w:kern w:val="0"/>
                <w:sz w:val="24"/>
              </w:rPr>
            </w:pPr>
            <w:r>
              <w:rPr>
                <w:rFonts w:ascii="宋体" w:hAnsi="宋体" w:cs="宋体" w:hint="eastAsia"/>
                <w:sz w:val="24"/>
              </w:rPr>
              <w:t>办公设备购置</w:t>
            </w:r>
          </w:p>
        </w:tc>
        <w:tc>
          <w:tcPr>
            <w:tcW w:w="2268" w:type="dxa"/>
            <w:vAlign w:val="center"/>
          </w:tcPr>
          <w:p w:rsidR="004154F3" w:rsidRDefault="008D5E82">
            <w:pPr>
              <w:widowControl/>
              <w:jc w:val="center"/>
              <w:rPr>
                <w:rFonts w:ascii="宋体" w:hAnsi="宋体" w:cs="宋体"/>
                <w:kern w:val="0"/>
                <w:sz w:val="24"/>
              </w:rPr>
            </w:pPr>
            <w:r>
              <w:rPr>
                <w:rFonts w:ascii="宋体" w:hAnsi="宋体" w:cs="宋体" w:hint="eastAsia"/>
                <w:sz w:val="24"/>
              </w:rPr>
              <w:t>5.08</w:t>
            </w:r>
          </w:p>
        </w:tc>
        <w:tc>
          <w:tcPr>
            <w:tcW w:w="2268" w:type="dxa"/>
            <w:vAlign w:val="center"/>
          </w:tcPr>
          <w:p w:rsidR="004154F3" w:rsidRDefault="004154F3">
            <w:pPr>
              <w:widowControl/>
              <w:jc w:val="center"/>
              <w:rPr>
                <w:rFonts w:ascii="宋体" w:hAnsi="宋体" w:cs="宋体"/>
                <w:sz w:val="24"/>
              </w:rPr>
            </w:pP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5.08</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4.6</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90.59%</w:t>
            </w:r>
          </w:p>
        </w:tc>
      </w:tr>
      <w:tr w:rsidR="004154F3">
        <w:trPr>
          <w:trHeight w:val="540"/>
        </w:trPr>
        <w:tc>
          <w:tcPr>
            <w:tcW w:w="3079" w:type="dxa"/>
            <w:vAlign w:val="center"/>
          </w:tcPr>
          <w:p w:rsidR="004154F3" w:rsidRDefault="008D5E82">
            <w:pPr>
              <w:widowControl/>
              <w:jc w:val="left"/>
              <w:rPr>
                <w:rFonts w:ascii="宋体" w:hAnsi="宋体" w:cs="宋体"/>
                <w:kern w:val="0"/>
                <w:sz w:val="24"/>
              </w:rPr>
            </w:pPr>
            <w:r>
              <w:rPr>
                <w:rFonts w:ascii="宋体" w:hAnsi="宋体" w:cs="宋体" w:hint="eastAsia"/>
                <w:sz w:val="24"/>
              </w:rPr>
              <w:t>档案、法律等服务费</w:t>
            </w:r>
          </w:p>
        </w:tc>
        <w:tc>
          <w:tcPr>
            <w:tcW w:w="2268" w:type="dxa"/>
            <w:vAlign w:val="center"/>
          </w:tcPr>
          <w:p w:rsidR="004154F3" w:rsidRDefault="008D5E82">
            <w:pPr>
              <w:widowControl/>
              <w:jc w:val="center"/>
              <w:rPr>
                <w:rFonts w:ascii="宋体" w:hAnsi="宋体" w:cs="宋体"/>
                <w:kern w:val="0"/>
                <w:sz w:val="24"/>
              </w:rPr>
            </w:pPr>
            <w:r>
              <w:rPr>
                <w:rFonts w:ascii="宋体" w:hAnsi="宋体" w:cs="宋体" w:hint="eastAsia"/>
                <w:sz w:val="24"/>
              </w:rPr>
              <w:t>5</w:t>
            </w:r>
          </w:p>
        </w:tc>
        <w:tc>
          <w:tcPr>
            <w:tcW w:w="2268" w:type="dxa"/>
            <w:vAlign w:val="center"/>
          </w:tcPr>
          <w:p w:rsidR="004154F3" w:rsidRDefault="004154F3">
            <w:pPr>
              <w:widowControl/>
              <w:jc w:val="center"/>
              <w:rPr>
                <w:rFonts w:ascii="宋体" w:hAnsi="宋体" w:cs="宋体"/>
                <w:sz w:val="24"/>
              </w:rPr>
            </w:pP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5</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4.6</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92.00%</w:t>
            </w:r>
          </w:p>
        </w:tc>
      </w:tr>
      <w:tr w:rsidR="004154F3">
        <w:trPr>
          <w:trHeight w:val="540"/>
        </w:trPr>
        <w:tc>
          <w:tcPr>
            <w:tcW w:w="3079" w:type="dxa"/>
            <w:vAlign w:val="center"/>
          </w:tcPr>
          <w:p w:rsidR="004154F3" w:rsidRDefault="008D5E82">
            <w:pPr>
              <w:widowControl/>
              <w:jc w:val="left"/>
              <w:rPr>
                <w:rFonts w:ascii="宋体" w:hAnsi="宋体" w:cs="宋体"/>
                <w:kern w:val="0"/>
                <w:sz w:val="24"/>
              </w:rPr>
            </w:pPr>
            <w:r>
              <w:rPr>
                <w:rFonts w:ascii="宋体" w:hAnsi="宋体" w:cs="宋体" w:hint="eastAsia"/>
                <w:sz w:val="24"/>
              </w:rPr>
              <w:t>党建活动经费</w:t>
            </w:r>
          </w:p>
        </w:tc>
        <w:tc>
          <w:tcPr>
            <w:tcW w:w="2268" w:type="dxa"/>
            <w:vAlign w:val="center"/>
          </w:tcPr>
          <w:p w:rsidR="004154F3" w:rsidRDefault="008D5E82">
            <w:pPr>
              <w:widowControl/>
              <w:jc w:val="center"/>
              <w:rPr>
                <w:rFonts w:ascii="宋体" w:hAnsi="宋体" w:cs="宋体"/>
                <w:kern w:val="0"/>
                <w:sz w:val="24"/>
              </w:rPr>
            </w:pPr>
            <w:r>
              <w:rPr>
                <w:rFonts w:ascii="宋体" w:hAnsi="宋体" w:cs="宋体" w:hint="eastAsia"/>
                <w:sz w:val="24"/>
              </w:rPr>
              <w:t>2.9</w:t>
            </w:r>
          </w:p>
        </w:tc>
        <w:tc>
          <w:tcPr>
            <w:tcW w:w="2268" w:type="dxa"/>
            <w:vAlign w:val="center"/>
          </w:tcPr>
          <w:p w:rsidR="004154F3" w:rsidRDefault="004154F3">
            <w:pPr>
              <w:widowControl/>
              <w:jc w:val="center"/>
              <w:rPr>
                <w:rFonts w:ascii="宋体" w:hAnsi="宋体" w:cs="宋体"/>
                <w:sz w:val="24"/>
              </w:rPr>
            </w:pP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2.9</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2.74</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94.82%</w:t>
            </w:r>
          </w:p>
        </w:tc>
      </w:tr>
      <w:tr w:rsidR="004154F3">
        <w:trPr>
          <w:trHeight w:val="540"/>
        </w:trPr>
        <w:tc>
          <w:tcPr>
            <w:tcW w:w="3079" w:type="dxa"/>
            <w:vAlign w:val="center"/>
          </w:tcPr>
          <w:p w:rsidR="004154F3" w:rsidRDefault="008D5E82">
            <w:pPr>
              <w:widowControl/>
              <w:jc w:val="left"/>
              <w:rPr>
                <w:rFonts w:ascii="宋体" w:hAnsi="宋体" w:cs="宋体"/>
                <w:kern w:val="0"/>
                <w:sz w:val="24"/>
              </w:rPr>
            </w:pPr>
            <w:r>
              <w:rPr>
                <w:rFonts w:ascii="宋体" w:hAnsi="宋体" w:cs="宋体" w:hint="eastAsia"/>
                <w:sz w:val="24"/>
              </w:rPr>
              <w:t>伙食经费</w:t>
            </w:r>
          </w:p>
        </w:tc>
        <w:tc>
          <w:tcPr>
            <w:tcW w:w="2268" w:type="dxa"/>
            <w:vAlign w:val="center"/>
          </w:tcPr>
          <w:p w:rsidR="004154F3" w:rsidRDefault="008D5E82">
            <w:pPr>
              <w:widowControl/>
              <w:jc w:val="center"/>
              <w:rPr>
                <w:rFonts w:ascii="宋体" w:hAnsi="宋体" w:cs="宋体"/>
                <w:kern w:val="0"/>
                <w:sz w:val="24"/>
              </w:rPr>
            </w:pPr>
            <w:r>
              <w:rPr>
                <w:rFonts w:ascii="宋体" w:hAnsi="宋体" w:cs="宋体" w:hint="eastAsia"/>
                <w:sz w:val="24"/>
              </w:rPr>
              <w:t>21.84</w:t>
            </w:r>
          </w:p>
        </w:tc>
        <w:tc>
          <w:tcPr>
            <w:tcW w:w="2268" w:type="dxa"/>
            <w:vAlign w:val="center"/>
          </w:tcPr>
          <w:p w:rsidR="004154F3" w:rsidRDefault="004154F3">
            <w:pPr>
              <w:widowControl/>
              <w:jc w:val="center"/>
              <w:rPr>
                <w:rFonts w:ascii="宋体" w:hAnsi="宋体" w:cs="宋体"/>
                <w:sz w:val="24"/>
              </w:rPr>
            </w:pP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21.84</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21.84</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100.00%</w:t>
            </w:r>
          </w:p>
        </w:tc>
      </w:tr>
      <w:tr w:rsidR="004154F3">
        <w:trPr>
          <w:trHeight w:val="540"/>
        </w:trPr>
        <w:tc>
          <w:tcPr>
            <w:tcW w:w="3079" w:type="dxa"/>
            <w:vAlign w:val="center"/>
          </w:tcPr>
          <w:p w:rsidR="004154F3" w:rsidRDefault="008D5E82">
            <w:pPr>
              <w:widowControl/>
              <w:jc w:val="left"/>
              <w:rPr>
                <w:rFonts w:ascii="宋体" w:hAnsi="宋体" w:cs="宋体"/>
                <w:kern w:val="0"/>
                <w:sz w:val="24"/>
              </w:rPr>
            </w:pPr>
            <w:r>
              <w:rPr>
                <w:rFonts w:ascii="宋体" w:hAnsi="宋体" w:cs="宋体" w:hint="eastAsia"/>
                <w:sz w:val="24"/>
              </w:rPr>
              <w:t>培训经费</w:t>
            </w:r>
          </w:p>
        </w:tc>
        <w:tc>
          <w:tcPr>
            <w:tcW w:w="2268" w:type="dxa"/>
            <w:vAlign w:val="center"/>
          </w:tcPr>
          <w:p w:rsidR="004154F3" w:rsidRDefault="008D5E82">
            <w:pPr>
              <w:widowControl/>
              <w:jc w:val="center"/>
              <w:rPr>
                <w:rFonts w:ascii="宋体" w:hAnsi="宋体" w:cs="宋体"/>
                <w:kern w:val="0"/>
                <w:sz w:val="24"/>
              </w:rPr>
            </w:pPr>
            <w:r>
              <w:rPr>
                <w:rFonts w:ascii="宋体" w:hAnsi="宋体" w:cs="宋体" w:hint="eastAsia"/>
                <w:sz w:val="24"/>
              </w:rPr>
              <w:t>6.86</w:t>
            </w:r>
          </w:p>
        </w:tc>
        <w:tc>
          <w:tcPr>
            <w:tcW w:w="2268" w:type="dxa"/>
            <w:vAlign w:val="center"/>
          </w:tcPr>
          <w:p w:rsidR="004154F3" w:rsidRDefault="004154F3">
            <w:pPr>
              <w:widowControl/>
              <w:jc w:val="center"/>
              <w:rPr>
                <w:rFonts w:ascii="宋体" w:hAnsi="宋体" w:cs="宋体"/>
                <w:sz w:val="24"/>
              </w:rPr>
            </w:pP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6.86</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6.4</w:t>
            </w:r>
          </w:p>
        </w:tc>
        <w:tc>
          <w:tcPr>
            <w:tcW w:w="2268" w:type="dxa"/>
            <w:vAlign w:val="center"/>
          </w:tcPr>
          <w:p w:rsidR="004154F3" w:rsidRDefault="008D5E82">
            <w:pPr>
              <w:widowControl/>
              <w:jc w:val="center"/>
              <w:rPr>
                <w:rFonts w:ascii="宋体" w:hAnsi="宋体" w:cs="宋体"/>
                <w:sz w:val="24"/>
              </w:rPr>
            </w:pPr>
            <w:r>
              <w:rPr>
                <w:rFonts w:ascii="宋体" w:hAnsi="宋体" w:cs="宋体" w:hint="eastAsia"/>
                <w:sz w:val="24"/>
              </w:rPr>
              <w:t>93.36%</w:t>
            </w:r>
          </w:p>
        </w:tc>
      </w:tr>
    </w:tbl>
    <w:p w:rsidR="00F70DD5" w:rsidRDefault="00F70DD5">
      <w:pPr>
        <w:spacing w:line="360" w:lineRule="auto"/>
        <w:ind w:left="600"/>
        <w:rPr>
          <w:rFonts w:ascii="黑体" w:eastAsia="黑体" w:hAnsi="黑体"/>
          <w:sz w:val="30"/>
        </w:rPr>
      </w:pPr>
    </w:p>
    <w:p w:rsidR="00F70DD5" w:rsidRDefault="00BE0E9A">
      <w:pPr>
        <w:numPr>
          <w:ilvl w:val="0"/>
          <w:numId w:val="1"/>
        </w:numPr>
        <w:spacing w:line="360" w:lineRule="auto"/>
        <w:ind w:left="600"/>
        <w:rPr>
          <w:rFonts w:ascii="黑体" w:eastAsia="黑体" w:hAnsi="黑体"/>
          <w:sz w:val="30"/>
        </w:rPr>
      </w:pPr>
      <w:r>
        <w:rPr>
          <w:rFonts w:ascii="黑体" w:eastAsia="黑体" w:hAnsi="黑体" w:hint="eastAsia"/>
          <w:sz w:val="30"/>
        </w:rPr>
        <w:t>年度重点任务</w:t>
      </w:r>
    </w:p>
    <w:p w:rsidR="00F70DD5" w:rsidRDefault="00F70DD5">
      <w:pPr>
        <w:spacing w:line="360" w:lineRule="auto"/>
        <w:ind w:left="600"/>
        <w:rPr>
          <w:rFonts w:ascii="黑体" w:eastAsia="黑体" w:hAnsi="黑体"/>
          <w:sz w:val="30"/>
        </w:rPr>
      </w:pPr>
    </w:p>
    <w:tbl>
      <w:tblPr>
        <w:tblW w:w="13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9"/>
        <w:gridCol w:w="3818"/>
        <w:gridCol w:w="6280"/>
      </w:tblGrid>
      <w:tr w:rsidR="00693D54" w:rsidTr="00F97F4B">
        <w:trPr>
          <w:trHeight w:val="339"/>
        </w:trPr>
        <w:tc>
          <w:tcPr>
            <w:tcW w:w="3419" w:type="dxa"/>
            <w:shd w:val="clear" w:color="000000" w:fill="BFBFBF"/>
            <w:vAlign w:val="center"/>
          </w:tcPr>
          <w:p w:rsidR="00693D54" w:rsidRDefault="00693D54">
            <w:pPr>
              <w:widowControl/>
              <w:jc w:val="center"/>
              <w:rPr>
                <w:rFonts w:ascii="宋体" w:hAnsi="宋体" w:cs="宋体"/>
                <w:b/>
                <w:bCs/>
                <w:kern w:val="0"/>
                <w:sz w:val="24"/>
              </w:rPr>
            </w:pPr>
          </w:p>
          <w:p w:rsidR="00693D54" w:rsidRDefault="00693D54">
            <w:pPr>
              <w:widowControl/>
              <w:jc w:val="center"/>
              <w:rPr>
                <w:rFonts w:ascii="宋体" w:hAnsi="宋体" w:cs="宋体"/>
                <w:b/>
                <w:bCs/>
                <w:kern w:val="0"/>
                <w:sz w:val="24"/>
              </w:rPr>
            </w:pPr>
            <w:r>
              <w:rPr>
                <w:rFonts w:ascii="宋体" w:hAnsi="宋体" w:cs="宋体" w:hint="eastAsia"/>
                <w:b/>
                <w:bCs/>
                <w:kern w:val="0"/>
                <w:sz w:val="24"/>
              </w:rPr>
              <w:t>对应部门主要职责</w:t>
            </w:r>
          </w:p>
          <w:p w:rsidR="00693D54" w:rsidRDefault="00693D54">
            <w:pPr>
              <w:widowControl/>
              <w:jc w:val="center"/>
              <w:rPr>
                <w:rFonts w:ascii="宋体" w:hAnsi="宋体" w:cs="宋体"/>
                <w:b/>
                <w:bCs/>
                <w:kern w:val="0"/>
                <w:sz w:val="24"/>
              </w:rPr>
            </w:pPr>
          </w:p>
        </w:tc>
        <w:tc>
          <w:tcPr>
            <w:tcW w:w="3818" w:type="dxa"/>
            <w:shd w:val="clear" w:color="000000" w:fill="BFBFBF"/>
            <w:vAlign w:val="center"/>
          </w:tcPr>
          <w:p w:rsidR="00693D54" w:rsidRDefault="00693D54">
            <w:pPr>
              <w:widowControl/>
              <w:jc w:val="center"/>
              <w:rPr>
                <w:rFonts w:ascii="宋体" w:hAnsi="宋体" w:cs="宋体"/>
                <w:b/>
                <w:bCs/>
                <w:kern w:val="0"/>
                <w:sz w:val="24"/>
              </w:rPr>
            </w:pPr>
            <w:r>
              <w:rPr>
                <w:rFonts w:ascii="宋体" w:hAnsi="宋体" w:cs="宋体" w:hint="eastAsia"/>
                <w:b/>
                <w:bCs/>
                <w:kern w:val="0"/>
                <w:sz w:val="24"/>
              </w:rPr>
              <w:t>任务名称</w:t>
            </w:r>
          </w:p>
        </w:tc>
        <w:tc>
          <w:tcPr>
            <w:tcW w:w="6280" w:type="dxa"/>
            <w:shd w:val="clear" w:color="000000" w:fill="BFBFBF"/>
            <w:vAlign w:val="center"/>
          </w:tcPr>
          <w:p w:rsidR="00693D54" w:rsidRDefault="00693D54">
            <w:pPr>
              <w:widowControl/>
              <w:jc w:val="center"/>
              <w:rPr>
                <w:rFonts w:ascii="宋体" w:hAnsi="宋体" w:cs="宋体"/>
                <w:b/>
                <w:bCs/>
                <w:kern w:val="0"/>
                <w:sz w:val="24"/>
              </w:rPr>
            </w:pPr>
            <w:r>
              <w:rPr>
                <w:rFonts w:ascii="宋体" w:hAnsi="宋体" w:cs="宋体" w:hint="eastAsia"/>
                <w:b/>
                <w:bCs/>
                <w:kern w:val="0"/>
                <w:sz w:val="24"/>
              </w:rPr>
              <w:t>完成情况</w:t>
            </w:r>
          </w:p>
        </w:tc>
      </w:tr>
      <w:tr w:rsidR="004154F3">
        <w:trPr>
          <w:trHeight w:val="608"/>
        </w:trPr>
        <w:tc>
          <w:tcPr>
            <w:tcW w:w="3419" w:type="dxa"/>
            <w:vAlign w:val="center"/>
          </w:tcPr>
          <w:p w:rsidR="004154F3" w:rsidRDefault="008D5E82">
            <w:pPr>
              <w:widowControl/>
              <w:jc w:val="center"/>
              <w:rPr>
                <w:rFonts w:ascii="宋体" w:hAnsi="宋体" w:cs="宋体"/>
                <w:kern w:val="0"/>
                <w:sz w:val="24"/>
              </w:rPr>
            </w:pPr>
            <w:r>
              <w:rPr>
                <w:rFonts w:ascii="宋体" w:hAnsi="宋体" w:cs="宋体" w:hint="eastAsia"/>
                <w:sz w:val="24"/>
              </w:rPr>
              <w:t>负责市级环境管理专项监测、应急监测、辐射环境监测以及跨区域污染源执法监测</w:t>
            </w:r>
          </w:p>
        </w:tc>
        <w:tc>
          <w:tcPr>
            <w:tcW w:w="3818" w:type="dxa"/>
            <w:vAlign w:val="center"/>
          </w:tcPr>
          <w:p w:rsidR="004154F3" w:rsidRDefault="008D5E82">
            <w:pPr>
              <w:widowControl/>
              <w:jc w:val="center"/>
              <w:rPr>
                <w:rFonts w:ascii="宋体" w:hAnsi="宋体" w:cs="宋体"/>
                <w:sz w:val="24"/>
              </w:rPr>
            </w:pPr>
            <w:r>
              <w:rPr>
                <w:rFonts w:ascii="宋体" w:hAnsi="宋体" w:cs="宋体" w:hint="eastAsia"/>
                <w:sz w:val="24"/>
              </w:rPr>
              <w:t>实现环境监测能力建设，实验室安全有效运行，基本满足日常环境监测，执法监测和突发环境应急监测任务需求。</w:t>
            </w:r>
          </w:p>
        </w:tc>
        <w:tc>
          <w:tcPr>
            <w:tcW w:w="6280" w:type="dxa"/>
            <w:vAlign w:val="center"/>
          </w:tcPr>
          <w:p w:rsidR="004154F3" w:rsidRDefault="008D5E82">
            <w:pPr>
              <w:widowControl/>
              <w:jc w:val="center"/>
              <w:rPr>
                <w:rFonts w:ascii="宋体" w:hAnsi="宋体" w:cs="宋体"/>
                <w:sz w:val="24"/>
              </w:rPr>
            </w:pPr>
            <w:r>
              <w:rPr>
                <w:rFonts w:ascii="宋体" w:hAnsi="宋体" w:cs="宋体" w:hint="eastAsia"/>
                <w:sz w:val="24"/>
              </w:rPr>
              <w:t>基础能力再上台阶，2023年我站具备CMA资质能力63项，取得省级上岗资质、可开展监测项目数量总数达128项，较上年新增65项；完成省生态环境监测机构应急监测能力评估达到良好以上水平，在全省市级监测监控机构中位于前三；在全省生态环境辐射监测技能竞赛40人队伍中我站荣获“团体第二名”，在市级监测监控机构中位列全省第一，一人获省“十佳辐射监测能手”称号，获省总工会、省机关党委和省生态环境厅联合通报表彰。我站不断加强监测能力建设，基本满足日常环境监测、执法监测和突发环境事故应急监测。</w:t>
            </w:r>
          </w:p>
        </w:tc>
      </w:tr>
    </w:tbl>
    <w:p w:rsidR="00F70DD5" w:rsidRDefault="00F70DD5">
      <w:pPr>
        <w:spacing w:line="360" w:lineRule="auto"/>
        <w:ind w:left="600"/>
        <w:rPr>
          <w:rFonts w:ascii="黑体" w:eastAsia="黑体" w:hAnsi="黑体"/>
          <w:sz w:val="30"/>
        </w:rPr>
      </w:pPr>
    </w:p>
    <w:p w:rsidR="00F70DD5" w:rsidRDefault="00F70DD5">
      <w:pPr>
        <w:spacing w:line="360" w:lineRule="auto"/>
        <w:ind w:left="600"/>
        <w:rPr>
          <w:rFonts w:ascii="黑体" w:eastAsia="黑体" w:hAnsi="黑体"/>
          <w:sz w:val="30"/>
        </w:rPr>
      </w:pPr>
    </w:p>
    <w:p w:rsidR="00F70DD5" w:rsidRDefault="00BE0E9A">
      <w:pPr>
        <w:numPr>
          <w:ilvl w:val="0"/>
          <w:numId w:val="1"/>
        </w:numPr>
        <w:spacing w:line="360" w:lineRule="auto"/>
        <w:ind w:left="600"/>
        <w:rPr>
          <w:rFonts w:ascii="黑体" w:eastAsia="黑体" w:hAnsi="黑体"/>
          <w:sz w:val="30"/>
        </w:rPr>
      </w:pPr>
      <w:r>
        <w:rPr>
          <w:rFonts w:ascii="黑体" w:eastAsia="黑体" w:hAnsi="黑体" w:hint="eastAsia"/>
          <w:sz w:val="30"/>
        </w:rPr>
        <w:t>部门整体自评表</w:t>
      </w:r>
    </w:p>
    <w:tbl>
      <w:tblPr>
        <w:tblpPr w:leftFromText="180" w:rightFromText="180" w:vertAnchor="text" w:horzAnchor="page" w:tblpX="1656" w:tblpY="127"/>
        <w:tblOverlap w:val="neve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2051"/>
        <w:gridCol w:w="2061"/>
        <w:gridCol w:w="1987"/>
        <w:gridCol w:w="1799"/>
        <w:gridCol w:w="1866"/>
        <w:gridCol w:w="1787"/>
        <w:gridCol w:w="1071"/>
      </w:tblGrid>
      <w:tr w:rsidR="00F70DD5">
        <w:trPr>
          <w:trHeight w:val="339"/>
        </w:trPr>
        <w:tc>
          <w:tcPr>
            <w:tcW w:w="2067" w:type="dxa"/>
            <w:shd w:val="clear" w:color="000000" w:fill="BFBFBF"/>
            <w:vAlign w:val="center"/>
          </w:tcPr>
          <w:p w:rsidR="00F70DD5" w:rsidRDefault="00F70DD5">
            <w:pPr>
              <w:widowControl/>
              <w:jc w:val="center"/>
              <w:rPr>
                <w:rFonts w:ascii="宋体" w:hAnsi="宋体" w:cs="宋体"/>
                <w:b/>
                <w:bCs/>
                <w:kern w:val="0"/>
                <w:sz w:val="24"/>
              </w:rPr>
            </w:pPr>
          </w:p>
        </w:tc>
        <w:tc>
          <w:tcPr>
            <w:tcW w:w="2051"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类别</w:t>
            </w:r>
          </w:p>
        </w:tc>
        <w:tc>
          <w:tcPr>
            <w:tcW w:w="2061"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指标名称</w:t>
            </w:r>
          </w:p>
        </w:tc>
        <w:tc>
          <w:tcPr>
            <w:tcW w:w="1987"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指标目标值</w:t>
            </w:r>
          </w:p>
        </w:tc>
        <w:tc>
          <w:tcPr>
            <w:tcW w:w="1799"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指标完成值</w:t>
            </w:r>
          </w:p>
        </w:tc>
        <w:tc>
          <w:tcPr>
            <w:tcW w:w="1866"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完成值来源</w:t>
            </w:r>
          </w:p>
        </w:tc>
        <w:tc>
          <w:tcPr>
            <w:tcW w:w="1787" w:type="dxa"/>
            <w:shd w:val="clear" w:color="000000" w:fill="BFBFBF"/>
            <w:vAlign w:val="center"/>
          </w:tcPr>
          <w:p w:rsidR="00F70DD5" w:rsidRDefault="00BE0E9A">
            <w:pPr>
              <w:widowControl/>
              <w:jc w:val="center"/>
              <w:rPr>
                <w:rFonts w:ascii="宋体" w:hAnsi="宋体" w:cs="宋体"/>
                <w:b/>
                <w:bCs/>
                <w:sz w:val="24"/>
              </w:rPr>
            </w:pPr>
            <w:r>
              <w:rPr>
                <w:rFonts w:ascii="宋体" w:hAnsi="宋体" w:cs="宋体" w:hint="eastAsia"/>
                <w:b/>
                <w:bCs/>
                <w:sz w:val="24"/>
              </w:rPr>
              <w:t>偏差情况</w:t>
            </w:r>
          </w:p>
        </w:tc>
        <w:tc>
          <w:tcPr>
            <w:tcW w:w="1071" w:type="dxa"/>
            <w:shd w:val="clear" w:color="000000" w:fill="BFBFBF"/>
          </w:tcPr>
          <w:p w:rsidR="00F70DD5" w:rsidRDefault="00BE0E9A">
            <w:pPr>
              <w:widowControl/>
              <w:jc w:val="center"/>
              <w:rPr>
                <w:rFonts w:ascii="黑体" w:eastAsia="黑体" w:hAnsi="黑体"/>
                <w:sz w:val="30"/>
              </w:rPr>
            </w:pPr>
            <w:r>
              <w:rPr>
                <w:rFonts w:ascii="宋体" w:hAnsi="宋体" w:cs="宋体" w:hint="eastAsia"/>
                <w:b/>
                <w:bCs/>
                <w:sz w:val="24"/>
              </w:rPr>
              <w:t>原因分析</w:t>
            </w:r>
          </w:p>
        </w:tc>
      </w:tr>
      <w:tr w:rsidR="004154F3">
        <w:trPr>
          <w:trHeight w:val="540"/>
        </w:trPr>
        <w:tc>
          <w:tcPr>
            <w:tcW w:w="2067" w:type="dxa"/>
            <w:vMerge w:val="restart"/>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分解目标</w:t>
            </w:r>
          </w:p>
        </w:tc>
        <w:tc>
          <w:tcPr>
            <w:tcW w:w="2051" w:type="dxa"/>
            <w:vMerge w:val="restart"/>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决策</w:t>
            </w: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中长期规划制定健全性</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文件单位中长期规划</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工作计划制定健全性</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单位年度工作计划</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绩效目标合理性</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合理</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合理</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《苏州市市级财政预算绩效目标管理办法》（</w:t>
            </w:r>
            <w:proofErr w:type="gramStart"/>
            <w:r>
              <w:rPr>
                <w:rFonts w:ascii="宋体" w:hAnsi="宋体" w:cs="宋体" w:hint="eastAsia"/>
                <w:sz w:val="24"/>
              </w:rPr>
              <w:t>苏财绩〔2019〕</w:t>
            </w:r>
            <w:proofErr w:type="gramEnd"/>
            <w:r>
              <w:rPr>
                <w:rFonts w:ascii="宋体" w:hAnsi="宋体" w:cs="宋体" w:hint="eastAsia"/>
                <w:sz w:val="24"/>
              </w:rPr>
              <w:t>28号）等文件</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绩效指标明确性</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明确</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明确</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《苏州市市级财政预算绩效目标管理办法》（</w:t>
            </w:r>
            <w:proofErr w:type="gramStart"/>
            <w:r>
              <w:rPr>
                <w:rFonts w:ascii="宋体" w:hAnsi="宋体" w:cs="宋体" w:hint="eastAsia"/>
                <w:sz w:val="24"/>
              </w:rPr>
              <w:t>苏财绩〔2019〕</w:t>
            </w:r>
            <w:proofErr w:type="gramEnd"/>
            <w:r>
              <w:rPr>
                <w:rFonts w:ascii="宋体" w:hAnsi="宋体" w:cs="宋体" w:hint="eastAsia"/>
                <w:sz w:val="24"/>
              </w:rPr>
              <w:t>28号）等文件</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预算编制科学性</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科学</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科学</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《苏州市市级部门预算编制管理办法》（苏财预字〔2012〕39 号）</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预算编制规范性</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《苏州市市级部门预算编制管理办法》（苏财预字〔2012〕39 号）</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restart"/>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过程</w:t>
            </w: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绩效管理覆盖率</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预决算公开统一平台</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预算管理制度健全性</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单位内控制度等综合性文件</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预决算信息公开度</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公开</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公开</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预决算公开统一平台、苏州市生态环境局门户网站</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基础信息完善性</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完善</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完善</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预决算公开统一平台</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非税收入管理合</w:t>
            </w:r>
            <w:proofErr w:type="gramStart"/>
            <w:r>
              <w:rPr>
                <w:rFonts w:ascii="宋体" w:hAnsi="宋体" w:cs="宋体" w:hint="eastAsia"/>
                <w:sz w:val="24"/>
              </w:rPr>
              <w:t>规</w:t>
            </w:r>
            <w:proofErr w:type="gramEnd"/>
            <w:r>
              <w:rPr>
                <w:rFonts w:ascii="宋体" w:hAnsi="宋体" w:cs="宋体" w:hint="eastAsia"/>
                <w:sz w:val="24"/>
              </w:rPr>
              <w:t>性</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合</w:t>
            </w:r>
            <w:proofErr w:type="gramStart"/>
            <w:r>
              <w:rPr>
                <w:rFonts w:ascii="宋体" w:hAnsi="宋体" w:cs="宋体" w:hint="eastAsia"/>
                <w:sz w:val="24"/>
              </w:rPr>
              <w:t>规</w:t>
            </w:r>
            <w:proofErr w:type="gramEnd"/>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合</w:t>
            </w:r>
            <w:proofErr w:type="gramStart"/>
            <w:r>
              <w:rPr>
                <w:rFonts w:ascii="宋体" w:hAnsi="宋体" w:cs="宋体" w:hint="eastAsia"/>
                <w:sz w:val="24"/>
              </w:rPr>
              <w:t>规</w:t>
            </w:r>
            <w:proofErr w:type="gramEnd"/>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财政非税收入收缴电子管理</w:t>
            </w:r>
            <w:r>
              <w:rPr>
                <w:rFonts w:ascii="宋体" w:hAnsi="宋体" w:cs="宋体" w:hint="eastAsia"/>
                <w:sz w:val="24"/>
              </w:rPr>
              <w:lastRenderedPageBreak/>
              <w:t>系统</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lastRenderedPageBreak/>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资金使用合</w:t>
            </w:r>
            <w:proofErr w:type="gramStart"/>
            <w:r>
              <w:rPr>
                <w:rFonts w:ascii="宋体" w:hAnsi="宋体" w:cs="宋体" w:hint="eastAsia"/>
                <w:sz w:val="24"/>
              </w:rPr>
              <w:t>规</w:t>
            </w:r>
            <w:proofErr w:type="gramEnd"/>
            <w:r>
              <w:rPr>
                <w:rFonts w:ascii="宋体" w:hAnsi="宋体" w:cs="宋体" w:hint="eastAsia"/>
                <w:sz w:val="24"/>
              </w:rPr>
              <w:t>性</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合</w:t>
            </w:r>
            <w:proofErr w:type="gramStart"/>
            <w:r>
              <w:rPr>
                <w:rFonts w:ascii="宋体" w:hAnsi="宋体" w:cs="宋体" w:hint="eastAsia"/>
                <w:sz w:val="24"/>
              </w:rPr>
              <w:t>规</w:t>
            </w:r>
            <w:proofErr w:type="gramEnd"/>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合</w:t>
            </w:r>
            <w:proofErr w:type="gramStart"/>
            <w:r>
              <w:rPr>
                <w:rFonts w:ascii="宋体" w:hAnsi="宋体" w:cs="宋体" w:hint="eastAsia"/>
                <w:sz w:val="24"/>
              </w:rPr>
              <w:t>规</w:t>
            </w:r>
            <w:proofErr w:type="gramEnd"/>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预算管理一体化系统</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固定资产利用率</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江苏省行政事业单位资产云平台</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资产管理规范性</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《苏州市生态环境局固定资产管理办法（修订稿）》（</w:t>
            </w:r>
            <w:proofErr w:type="gramStart"/>
            <w:r>
              <w:rPr>
                <w:rFonts w:ascii="宋体" w:hAnsi="宋体" w:cs="宋体" w:hint="eastAsia"/>
                <w:sz w:val="24"/>
              </w:rPr>
              <w:t>苏环党组</w:t>
            </w:r>
            <w:proofErr w:type="gramEnd"/>
            <w:r>
              <w:rPr>
                <w:rFonts w:ascii="宋体" w:hAnsi="宋体" w:cs="宋体" w:hint="eastAsia"/>
                <w:sz w:val="24"/>
              </w:rPr>
              <w:t>字（2022）112号）</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资产管理制度健全性</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《苏州市生态环境局固定资产管理办法（修订稿）》（</w:t>
            </w:r>
            <w:proofErr w:type="gramStart"/>
            <w:r>
              <w:rPr>
                <w:rFonts w:ascii="宋体" w:hAnsi="宋体" w:cs="宋体" w:hint="eastAsia"/>
                <w:sz w:val="24"/>
              </w:rPr>
              <w:t>苏环党组</w:t>
            </w:r>
            <w:proofErr w:type="gramEnd"/>
            <w:r>
              <w:rPr>
                <w:rFonts w:ascii="宋体" w:hAnsi="宋体" w:cs="宋体" w:hint="eastAsia"/>
                <w:sz w:val="24"/>
              </w:rPr>
              <w:t>字</w:t>
            </w:r>
            <w:r>
              <w:rPr>
                <w:rFonts w:ascii="宋体" w:hAnsi="宋体" w:cs="宋体" w:hint="eastAsia"/>
                <w:sz w:val="24"/>
              </w:rPr>
              <w:lastRenderedPageBreak/>
              <w:t>（2022）112号）</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lastRenderedPageBreak/>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项目管理制度健全性</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单位内控制度等综合性文件</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项目管理制度执行规范性</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单位内控制度等综合性文件</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在职人员控制率</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88.57%</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苏州市机关事业单位机构、人员信息管理系统</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-11.43%</w:t>
            </w:r>
          </w:p>
        </w:tc>
        <w:tc>
          <w:tcPr>
            <w:tcW w:w="1071" w:type="dxa"/>
          </w:tcPr>
          <w:p w:rsidR="004154F3" w:rsidRDefault="008D5E82">
            <w:pPr>
              <w:spacing w:line="360" w:lineRule="auto"/>
              <w:rPr>
                <w:rFonts w:ascii="宋体" w:hAnsi="宋体" w:cs="宋体"/>
                <w:kern w:val="0"/>
                <w:sz w:val="22"/>
              </w:rPr>
            </w:pPr>
            <w:r>
              <w:rPr>
                <w:rFonts w:ascii="宋体" w:hAnsi="宋体" w:cs="宋体" w:hint="eastAsia"/>
                <w:sz w:val="24"/>
              </w:rPr>
              <w:t>在职人员31人，核定编制35人。</w:t>
            </w: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人员管理制度执行有效性</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有效</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有效</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人员管理相关文件</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人员管理制度健全性</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人员管理相关文件</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组织建设工作及时完成率</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党建计划、总结</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业务学习与培训</w:t>
            </w:r>
            <w:r>
              <w:rPr>
                <w:rFonts w:ascii="宋体" w:hAnsi="宋体" w:cs="宋体" w:hint="eastAsia"/>
                <w:sz w:val="24"/>
              </w:rPr>
              <w:lastRenderedPageBreak/>
              <w:t>及时完成率</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lastRenderedPageBreak/>
              <w:t>=100%</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业务学习与培</w:t>
            </w:r>
            <w:r>
              <w:rPr>
                <w:rFonts w:ascii="宋体" w:hAnsi="宋体" w:cs="宋体" w:hint="eastAsia"/>
                <w:sz w:val="24"/>
              </w:rPr>
              <w:lastRenderedPageBreak/>
              <w:t>训相关资料</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lastRenderedPageBreak/>
              <w:t>0.00%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纪检监察工作有效性</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有效</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有效</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纪检监察相关文件</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政府采购执行率</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预算管理一体化系统</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结转结余率</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2023年度部门决算报表软件</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预算执行率</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99.27%</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预算管理一体化系统、预算指标通知书</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-0.73%</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“三公经费”变动率</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&lt;=0%</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-87.53%</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2023年度部门决算报表软件</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100%</w:t>
            </w:r>
          </w:p>
        </w:tc>
        <w:tc>
          <w:tcPr>
            <w:tcW w:w="1071" w:type="dxa"/>
          </w:tcPr>
          <w:p w:rsidR="004154F3" w:rsidRDefault="008D5E82">
            <w:pPr>
              <w:spacing w:line="360" w:lineRule="auto"/>
              <w:rPr>
                <w:rFonts w:ascii="宋体" w:hAnsi="宋体" w:cs="宋体"/>
                <w:kern w:val="0"/>
                <w:sz w:val="22"/>
              </w:rPr>
            </w:pPr>
            <w:r>
              <w:rPr>
                <w:rFonts w:ascii="宋体" w:hAnsi="宋体" w:cs="宋体" w:hint="eastAsia"/>
                <w:sz w:val="24"/>
              </w:rPr>
              <w:t>与上年相比，本年无新购车辆</w:t>
            </w: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非税收入预算完成率</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&gt;=100%</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财政非税收入收缴电子管理系统</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公用经费控制率</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&lt;=100%</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2023年度部门</w:t>
            </w:r>
            <w:r>
              <w:rPr>
                <w:rFonts w:ascii="宋体" w:hAnsi="宋体" w:cs="宋体" w:hint="eastAsia"/>
                <w:sz w:val="24"/>
              </w:rPr>
              <w:lastRenderedPageBreak/>
              <w:t>决算报表软件</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lastRenderedPageBreak/>
              <w:t>0.00%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支付进度符合率</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预算管理一体化系统</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预算调整率</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42.25%</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预算管理一体化系统</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100%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预算偏差率</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41.21%</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预算管理一体化系统</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100%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restart"/>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效益</w:t>
            </w: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对工作效率、管理和决策支持的改善或提升程度</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较高</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较高</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服务环境管理60项清单</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持续提升实验室监测能力水平</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提升</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提升</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实验室能力建设采购文件、验收表等</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满意度</w:t>
            </w: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满意度调查</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&gt;=90%</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90%</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满意度调查表</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restart"/>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履职</w:t>
            </w: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实验室安全有效运行</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资质能力表、能力验证证书、CMA报告等</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噪声自动监测、</w:t>
            </w:r>
            <w:r>
              <w:rPr>
                <w:rFonts w:ascii="宋体" w:hAnsi="宋体" w:cs="宋体" w:hint="eastAsia"/>
                <w:sz w:val="24"/>
              </w:rPr>
              <w:lastRenderedPageBreak/>
              <w:t>太湖水源地浮标和太湖平台、金</w:t>
            </w:r>
            <w:proofErr w:type="gramStart"/>
            <w:r>
              <w:rPr>
                <w:rFonts w:ascii="宋体" w:hAnsi="宋体" w:cs="宋体" w:hint="eastAsia"/>
                <w:sz w:val="24"/>
              </w:rPr>
              <w:t>墅</w:t>
            </w:r>
            <w:proofErr w:type="gramEnd"/>
            <w:r>
              <w:rPr>
                <w:rFonts w:ascii="宋体" w:hAnsi="宋体" w:cs="宋体" w:hint="eastAsia"/>
                <w:sz w:val="24"/>
              </w:rPr>
              <w:t>港渔洋山水站、辐射自动监测监控系统等运维及数据管理</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lastRenderedPageBreak/>
              <w:t>=14份/套</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14份/套</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服务类项目履</w:t>
            </w:r>
            <w:r>
              <w:rPr>
                <w:rFonts w:ascii="宋体" w:hAnsi="宋体" w:cs="宋体" w:hint="eastAsia"/>
                <w:sz w:val="24"/>
              </w:rPr>
              <w:lastRenderedPageBreak/>
              <w:t>行情况表、项目考核结果表、服务总结报告、运</w:t>
            </w:r>
            <w:proofErr w:type="gramStart"/>
            <w:r>
              <w:rPr>
                <w:rFonts w:ascii="宋体" w:hAnsi="宋体" w:cs="宋体" w:hint="eastAsia"/>
                <w:sz w:val="24"/>
              </w:rPr>
              <w:t>维报告</w:t>
            </w:r>
            <w:proofErr w:type="gramEnd"/>
            <w:r>
              <w:rPr>
                <w:rFonts w:ascii="宋体" w:hAnsi="宋体" w:cs="宋体" w:hint="eastAsia"/>
                <w:sz w:val="24"/>
              </w:rPr>
              <w:t>等</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lastRenderedPageBreak/>
              <w:t>0.00%</w:t>
            </w:r>
          </w:p>
        </w:tc>
        <w:tc>
          <w:tcPr>
            <w:tcW w:w="1071" w:type="dxa"/>
          </w:tcPr>
          <w:p w:rsidR="004154F3" w:rsidRDefault="004154F3">
            <w:pPr>
              <w:spacing w:line="360" w:lineRule="auto"/>
              <w:rPr>
                <w:rFonts w:ascii="宋体" w:hAnsi="宋体" w:cs="宋体"/>
                <w:kern w:val="0"/>
                <w:sz w:val="22"/>
              </w:rPr>
            </w:pP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水源地水站、实验室、核与辐射、执法监测与应急监测等仪器设备更新购置</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=59台/套</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58台/套</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设备验收材料、固定资产验收材料等</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-1.69%</w:t>
            </w:r>
          </w:p>
        </w:tc>
        <w:tc>
          <w:tcPr>
            <w:tcW w:w="1071" w:type="dxa"/>
          </w:tcPr>
          <w:p w:rsidR="004154F3" w:rsidRDefault="008D5E82">
            <w:pPr>
              <w:spacing w:line="360" w:lineRule="auto"/>
              <w:rPr>
                <w:rFonts w:ascii="宋体" w:hAnsi="宋体" w:cs="宋体"/>
                <w:kern w:val="0"/>
                <w:sz w:val="22"/>
              </w:rPr>
            </w:pPr>
            <w:r>
              <w:rPr>
                <w:rFonts w:ascii="宋体" w:hAnsi="宋体" w:cs="宋体" w:hint="eastAsia"/>
                <w:sz w:val="24"/>
              </w:rPr>
              <w:t>受国际环境影响，进出口贸易受到影响，设备到货延迟</w:t>
            </w:r>
          </w:p>
        </w:tc>
      </w:tr>
      <w:tr w:rsidR="004154F3">
        <w:trPr>
          <w:trHeight w:val="540"/>
        </w:trPr>
        <w:tc>
          <w:tcPr>
            <w:tcW w:w="2067" w:type="dxa"/>
            <w:vMerge/>
            <w:vAlign w:val="center"/>
          </w:tcPr>
          <w:p w:rsidR="004154F3" w:rsidRDefault="004154F3">
            <w:pPr>
              <w:spacing w:line="360" w:lineRule="auto"/>
              <w:jc w:val="center"/>
              <w:rPr>
                <w:rFonts w:ascii="宋体" w:hAnsi="宋体" w:cs="宋体"/>
                <w:kern w:val="0"/>
                <w:sz w:val="24"/>
              </w:rPr>
            </w:pPr>
          </w:p>
        </w:tc>
        <w:tc>
          <w:tcPr>
            <w:tcW w:w="2051" w:type="dxa"/>
            <w:vMerge/>
            <w:vAlign w:val="center"/>
          </w:tcPr>
          <w:p w:rsidR="004154F3" w:rsidRDefault="004154F3">
            <w:pPr>
              <w:spacing w:line="360" w:lineRule="auto"/>
              <w:jc w:val="center"/>
              <w:rPr>
                <w:rFonts w:ascii="宋体" w:hAnsi="宋体" w:cs="宋体"/>
                <w:kern w:val="0"/>
                <w:sz w:val="24"/>
              </w:rPr>
            </w:pPr>
          </w:p>
        </w:tc>
        <w:tc>
          <w:tcPr>
            <w:tcW w:w="2061"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非甲烷总烃设备维护、VOCS设备等运维</w:t>
            </w:r>
          </w:p>
        </w:tc>
        <w:tc>
          <w:tcPr>
            <w:tcW w:w="19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=4台</w:t>
            </w:r>
          </w:p>
        </w:tc>
        <w:tc>
          <w:tcPr>
            <w:tcW w:w="1799"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4台</w:t>
            </w:r>
          </w:p>
        </w:tc>
        <w:tc>
          <w:tcPr>
            <w:tcW w:w="1866"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服务类项目履行情况表</w:t>
            </w:r>
          </w:p>
        </w:tc>
        <w:tc>
          <w:tcPr>
            <w:tcW w:w="1787" w:type="dxa"/>
            <w:vAlign w:val="center"/>
          </w:tcPr>
          <w:p w:rsidR="004154F3" w:rsidRDefault="008D5E82">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154F3" w:rsidRDefault="004154F3">
            <w:pPr>
              <w:spacing w:line="360" w:lineRule="auto"/>
              <w:rPr>
                <w:rFonts w:ascii="宋体" w:hAnsi="宋体" w:cs="宋体"/>
                <w:kern w:val="0"/>
                <w:sz w:val="22"/>
              </w:rPr>
            </w:pPr>
          </w:p>
        </w:tc>
      </w:tr>
    </w:tbl>
    <w:p w:rsidR="00F70DD5" w:rsidRDefault="00F70DD5">
      <w:pPr>
        <w:spacing w:line="360" w:lineRule="auto"/>
        <w:ind w:left="600"/>
        <w:rPr>
          <w:rFonts w:ascii="黑体" w:eastAsia="黑体" w:hAnsi="黑体"/>
          <w:sz w:val="30"/>
        </w:rPr>
      </w:pPr>
    </w:p>
    <w:sectPr w:rsidR="00F70DD5" w:rsidSect="00F70DD5">
      <w:headerReference w:type="default" r:id="rId11"/>
      <w:footerReference w:type="default" r:id="rId12"/>
      <w:pgSz w:w="16840" w:h="11907" w:orient="landscape"/>
      <w:pgMar w:top="1559" w:right="1247" w:bottom="1400" w:left="1089" w:header="851" w:footer="992" w:gutter="0"/>
      <w:paperSrc w:first="15" w:other="15"/>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1D6" w:rsidRDefault="00CB61D6" w:rsidP="00F70DD5">
      <w:r>
        <w:separator/>
      </w:r>
    </w:p>
  </w:endnote>
  <w:endnote w:type="continuationSeparator" w:id="0">
    <w:p w:rsidR="00CB61D6" w:rsidRDefault="00CB61D6" w:rsidP="00F7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Arial Unicode MS">
    <w:altName w:val="Malgun Gothic Semilight"/>
    <w:panose1 w:val="020B0604020202020204"/>
    <w:charset w:val="86"/>
    <w:family w:val="roman"/>
    <w:pitch w:val="default"/>
    <w:sig w:usb0="00000000" w:usb1="00000000"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D5" w:rsidRDefault="00F70DD5">
    <w:pPr>
      <w:pStyle w:val="a4"/>
      <w:framePr w:wrap="around" w:vAnchor="text" w:hAnchor="margin" w:xAlign="center" w:y="1"/>
      <w:rPr>
        <w:rStyle w:val="a9"/>
      </w:rPr>
    </w:pPr>
    <w:r>
      <w:fldChar w:fldCharType="begin"/>
    </w:r>
    <w:r w:rsidR="00BE0E9A">
      <w:rPr>
        <w:rStyle w:val="a9"/>
      </w:rPr>
      <w:instrText xml:space="preserve">PAGE  </w:instrText>
    </w:r>
    <w:r>
      <w:fldChar w:fldCharType="end"/>
    </w:r>
  </w:p>
  <w:p w:rsidR="00F70DD5" w:rsidRDefault="00F70DD5">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D5" w:rsidRDefault="00F70DD5">
    <w:pPr>
      <w:pStyle w:val="a4"/>
      <w:framePr w:wrap="around" w:vAnchor="text" w:hAnchor="margin" w:xAlign="center" w:y="1"/>
      <w:rPr>
        <w:rStyle w:val="a9"/>
      </w:rPr>
    </w:pPr>
    <w:r>
      <w:fldChar w:fldCharType="begin"/>
    </w:r>
    <w:r w:rsidR="00BE0E9A">
      <w:rPr>
        <w:rStyle w:val="a9"/>
      </w:rPr>
      <w:instrText xml:space="preserve">PAGE  </w:instrText>
    </w:r>
    <w:r>
      <w:fldChar w:fldCharType="separate"/>
    </w:r>
    <w:r w:rsidR="007908B5">
      <w:rPr>
        <w:rStyle w:val="a9"/>
        <w:noProof/>
      </w:rPr>
      <w:t>1</w:t>
    </w:r>
    <w:r>
      <w:fldChar w:fldCharType="end"/>
    </w:r>
  </w:p>
  <w:p w:rsidR="00F70DD5" w:rsidRDefault="00F70DD5">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D5" w:rsidRDefault="00F70DD5">
    <w:pPr>
      <w:pStyle w:val="a4"/>
      <w:framePr w:wrap="around" w:vAnchor="text" w:hAnchor="margin" w:xAlign="center" w:y="1"/>
      <w:rPr>
        <w:rStyle w:val="a9"/>
      </w:rPr>
    </w:pPr>
    <w:r>
      <w:fldChar w:fldCharType="begin"/>
    </w:r>
    <w:r w:rsidR="00BE0E9A">
      <w:rPr>
        <w:rStyle w:val="a9"/>
      </w:rPr>
      <w:instrText xml:space="preserve">PAGE  </w:instrText>
    </w:r>
    <w:r>
      <w:fldChar w:fldCharType="separate"/>
    </w:r>
    <w:r w:rsidR="007908B5">
      <w:rPr>
        <w:rStyle w:val="a9"/>
        <w:noProof/>
      </w:rPr>
      <w:t>4</w:t>
    </w:r>
    <w:r>
      <w:fldChar w:fldCharType="end"/>
    </w:r>
  </w:p>
  <w:p w:rsidR="00F70DD5" w:rsidRDefault="00F70DD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1D6" w:rsidRDefault="00CB61D6" w:rsidP="00F70DD5">
      <w:r>
        <w:separator/>
      </w:r>
    </w:p>
  </w:footnote>
  <w:footnote w:type="continuationSeparator" w:id="0">
    <w:p w:rsidR="00CB61D6" w:rsidRDefault="00CB61D6" w:rsidP="00F70D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D5" w:rsidRDefault="00F70DD5">
    <w:pPr>
      <w:pStyle w:val="a6"/>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D5" w:rsidRDefault="00F70DD5">
    <w:pPr>
      <w:pStyle w:val="a6"/>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D5" w:rsidRDefault="00F70DD5">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BB9F1"/>
    <w:multiLevelType w:val="singleLevel"/>
    <w:tmpl w:val="5D7BB9F1"/>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2ZWIxNzBhOWM3YmNkMjVjMWZjMWQ2NzA4MDFlZmYifQ=="/>
  </w:docVars>
  <w:rsids>
    <w:rsidRoot w:val="00063C33"/>
    <w:rsid w:val="00000AE5"/>
    <w:rsid w:val="0000149B"/>
    <w:rsid w:val="00003466"/>
    <w:rsid w:val="00005172"/>
    <w:rsid w:val="000100EA"/>
    <w:rsid w:val="000174EF"/>
    <w:rsid w:val="00017B0A"/>
    <w:rsid w:val="00023671"/>
    <w:rsid w:val="00026029"/>
    <w:rsid w:val="000264BF"/>
    <w:rsid w:val="00037A63"/>
    <w:rsid w:val="00040CA6"/>
    <w:rsid w:val="00043B48"/>
    <w:rsid w:val="00052BE5"/>
    <w:rsid w:val="00060137"/>
    <w:rsid w:val="00063750"/>
    <w:rsid w:val="00063C33"/>
    <w:rsid w:val="00063D5B"/>
    <w:rsid w:val="00065156"/>
    <w:rsid w:val="00065B29"/>
    <w:rsid w:val="00067138"/>
    <w:rsid w:val="0006750F"/>
    <w:rsid w:val="000744C4"/>
    <w:rsid w:val="00075453"/>
    <w:rsid w:val="00075D05"/>
    <w:rsid w:val="000822BA"/>
    <w:rsid w:val="000824B9"/>
    <w:rsid w:val="00083E7F"/>
    <w:rsid w:val="000903A9"/>
    <w:rsid w:val="00090A12"/>
    <w:rsid w:val="00091DCD"/>
    <w:rsid w:val="000920AE"/>
    <w:rsid w:val="00096524"/>
    <w:rsid w:val="000A413D"/>
    <w:rsid w:val="000A5944"/>
    <w:rsid w:val="000B00C1"/>
    <w:rsid w:val="000B1FE0"/>
    <w:rsid w:val="000B2275"/>
    <w:rsid w:val="000B2CE5"/>
    <w:rsid w:val="000B5A1C"/>
    <w:rsid w:val="000B7645"/>
    <w:rsid w:val="000C44B7"/>
    <w:rsid w:val="000E5B04"/>
    <w:rsid w:val="000E69D0"/>
    <w:rsid w:val="000E7FBE"/>
    <w:rsid w:val="000F10A1"/>
    <w:rsid w:val="000F2CE9"/>
    <w:rsid w:val="000F5BD7"/>
    <w:rsid w:val="000F6964"/>
    <w:rsid w:val="00100A3B"/>
    <w:rsid w:val="001014B4"/>
    <w:rsid w:val="00104DFE"/>
    <w:rsid w:val="00106E72"/>
    <w:rsid w:val="00113289"/>
    <w:rsid w:val="00113D04"/>
    <w:rsid w:val="00113E8E"/>
    <w:rsid w:val="0011541B"/>
    <w:rsid w:val="0012134D"/>
    <w:rsid w:val="001220BE"/>
    <w:rsid w:val="00125CF2"/>
    <w:rsid w:val="00126E12"/>
    <w:rsid w:val="00130587"/>
    <w:rsid w:val="00130A6B"/>
    <w:rsid w:val="00131B00"/>
    <w:rsid w:val="00132D88"/>
    <w:rsid w:val="00133A9B"/>
    <w:rsid w:val="0013429F"/>
    <w:rsid w:val="001410F0"/>
    <w:rsid w:val="001420CF"/>
    <w:rsid w:val="00143A75"/>
    <w:rsid w:val="00143BA3"/>
    <w:rsid w:val="0014417A"/>
    <w:rsid w:val="001451E1"/>
    <w:rsid w:val="00147FEA"/>
    <w:rsid w:val="0015165E"/>
    <w:rsid w:val="00155CA1"/>
    <w:rsid w:val="001612E1"/>
    <w:rsid w:val="00164523"/>
    <w:rsid w:val="00165B5D"/>
    <w:rsid w:val="001662B4"/>
    <w:rsid w:val="0017063E"/>
    <w:rsid w:val="00177F82"/>
    <w:rsid w:val="001808D8"/>
    <w:rsid w:val="0018270E"/>
    <w:rsid w:val="00182B89"/>
    <w:rsid w:val="00182FC9"/>
    <w:rsid w:val="00190510"/>
    <w:rsid w:val="001A0AFE"/>
    <w:rsid w:val="001A1132"/>
    <w:rsid w:val="001B04B5"/>
    <w:rsid w:val="001B5269"/>
    <w:rsid w:val="001B7A52"/>
    <w:rsid w:val="001C0B83"/>
    <w:rsid w:val="001C31AD"/>
    <w:rsid w:val="001C4669"/>
    <w:rsid w:val="001C64FE"/>
    <w:rsid w:val="001C7FFB"/>
    <w:rsid w:val="001D03A1"/>
    <w:rsid w:val="001D2206"/>
    <w:rsid w:val="001D31D8"/>
    <w:rsid w:val="001D41B6"/>
    <w:rsid w:val="001D785B"/>
    <w:rsid w:val="001D7F4F"/>
    <w:rsid w:val="001E09A5"/>
    <w:rsid w:val="001E11AE"/>
    <w:rsid w:val="001E387E"/>
    <w:rsid w:val="001E4826"/>
    <w:rsid w:val="001E55E3"/>
    <w:rsid w:val="001F0EC7"/>
    <w:rsid w:val="001F1C88"/>
    <w:rsid w:val="001F2939"/>
    <w:rsid w:val="001F3B30"/>
    <w:rsid w:val="001F3BCB"/>
    <w:rsid w:val="00200D3F"/>
    <w:rsid w:val="0020308A"/>
    <w:rsid w:val="00204221"/>
    <w:rsid w:val="00206133"/>
    <w:rsid w:val="00213BC8"/>
    <w:rsid w:val="00216350"/>
    <w:rsid w:val="002166D3"/>
    <w:rsid w:val="00216F1E"/>
    <w:rsid w:val="00217E52"/>
    <w:rsid w:val="00222156"/>
    <w:rsid w:val="00223CA3"/>
    <w:rsid w:val="00227A2B"/>
    <w:rsid w:val="0023035D"/>
    <w:rsid w:val="002340B0"/>
    <w:rsid w:val="00234E4B"/>
    <w:rsid w:val="0023634E"/>
    <w:rsid w:val="002408C3"/>
    <w:rsid w:val="0024113F"/>
    <w:rsid w:val="00244426"/>
    <w:rsid w:val="0024746E"/>
    <w:rsid w:val="0025051E"/>
    <w:rsid w:val="00252592"/>
    <w:rsid w:val="00253D90"/>
    <w:rsid w:val="0025423D"/>
    <w:rsid w:val="00254F9A"/>
    <w:rsid w:val="00257BC2"/>
    <w:rsid w:val="00261488"/>
    <w:rsid w:val="00264AA2"/>
    <w:rsid w:val="00265B16"/>
    <w:rsid w:val="00265DA5"/>
    <w:rsid w:val="002673D0"/>
    <w:rsid w:val="002716BD"/>
    <w:rsid w:val="00273D49"/>
    <w:rsid w:val="00283319"/>
    <w:rsid w:val="00285317"/>
    <w:rsid w:val="0028539D"/>
    <w:rsid w:val="00286629"/>
    <w:rsid w:val="00286702"/>
    <w:rsid w:val="00286D47"/>
    <w:rsid w:val="002900B4"/>
    <w:rsid w:val="00291982"/>
    <w:rsid w:val="00294622"/>
    <w:rsid w:val="002A1D40"/>
    <w:rsid w:val="002A520E"/>
    <w:rsid w:val="002A71E9"/>
    <w:rsid w:val="002A740D"/>
    <w:rsid w:val="002B3130"/>
    <w:rsid w:val="002B46D0"/>
    <w:rsid w:val="002B4938"/>
    <w:rsid w:val="002B4C42"/>
    <w:rsid w:val="002B5C95"/>
    <w:rsid w:val="002B7826"/>
    <w:rsid w:val="002B7DA5"/>
    <w:rsid w:val="002C14BC"/>
    <w:rsid w:val="002C40C2"/>
    <w:rsid w:val="002C50BE"/>
    <w:rsid w:val="002C58CE"/>
    <w:rsid w:val="002C6932"/>
    <w:rsid w:val="002D37C3"/>
    <w:rsid w:val="002D39F6"/>
    <w:rsid w:val="002E02D4"/>
    <w:rsid w:val="002E3E46"/>
    <w:rsid w:val="002E6262"/>
    <w:rsid w:val="002F2F89"/>
    <w:rsid w:val="002F3573"/>
    <w:rsid w:val="002F79DA"/>
    <w:rsid w:val="003023BE"/>
    <w:rsid w:val="003047D9"/>
    <w:rsid w:val="00304E50"/>
    <w:rsid w:val="0031251A"/>
    <w:rsid w:val="00313B31"/>
    <w:rsid w:val="00313C95"/>
    <w:rsid w:val="00314B04"/>
    <w:rsid w:val="003205DD"/>
    <w:rsid w:val="003212A4"/>
    <w:rsid w:val="00321645"/>
    <w:rsid w:val="003224A9"/>
    <w:rsid w:val="00323407"/>
    <w:rsid w:val="00324653"/>
    <w:rsid w:val="00325446"/>
    <w:rsid w:val="003255FE"/>
    <w:rsid w:val="00327EE2"/>
    <w:rsid w:val="00330CB3"/>
    <w:rsid w:val="00332C74"/>
    <w:rsid w:val="00335FCC"/>
    <w:rsid w:val="00336C7D"/>
    <w:rsid w:val="00342E62"/>
    <w:rsid w:val="00343C7E"/>
    <w:rsid w:val="0034643F"/>
    <w:rsid w:val="00346D0D"/>
    <w:rsid w:val="00350DCA"/>
    <w:rsid w:val="00350EF3"/>
    <w:rsid w:val="00351E9C"/>
    <w:rsid w:val="00353E46"/>
    <w:rsid w:val="00354DA3"/>
    <w:rsid w:val="0035535B"/>
    <w:rsid w:val="003557CD"/>
    <w:rsid w:val="00355802"/>
    <w:rsid w:val="00362F2E"/>
    <w:rsid w:val="00365C54"/>
    <w:rsid w:val="003700B6"/>
    <w:rsid w:val="00370935"/>
    <w:rsid w:val="00371DB2"/>
    <w:rsid w:val="003729B0"/>
    <w:rsid w:val="00373041"/>
    <w:rsid w:val="003753A8"/>
    <w:rsid w:val="003831C1"/>
    <w:rsid w:val="00393CB1"/>
    <w:rsid w:val="003A5262"/>
    <w:rsid w:val="003B2F39"/>
    <w:rsid w:val="003B3410"/>
    <w:rsid w:val="003B36E9"/>
    <w:rsid w:val="003B6092"/>
    <w:rsid w:val="003C042E"/>
    <w:rsid w:val="003C06AC"/>
    <w:rsid w:val="003C1186"/>
    <w:rsid w:val="003C391B"/>
    <w:rsid w:val="003C4D46"/>
    <w:rsid w:val="003D01B1"/>
    <w:rsid w:val="003D0B70"/>
    <w:rsid w:val="003D72AD"/>
    <w:rsid w:val="003D7F91"/>
    <w:rsid w:val="003E2A48"/>
    <w:rsid w:val="003E2F63"/>
    <w:rsid w:val="003E65CC"/>
    <w:rsid w:val="003E6D22"/>
    <w:rsid w:val="003F2293"/>
    <w:rsid w:val="00400243"/>
    <w:rsid w:val="00405CA6"/>
    <w:rsid w:val="00410C77"/>
    <w:rsid w:val="00411D37"/>
    <w:rsid w:val="004154F3"/>
    <w:rsid w:val="00424485"/>
    <w:rsid w:val="004257E1"/>
    <w:rsid w:val="00425AA3"/>
    <w:rsid w:val="004305C8"/>
    <w:rsid w:val="0043312C"/>
    <w:rsid w:val="00436533"/>
    <w:rsid w:val="00436EC1"/>
    <w:rsid w:val="004403E7"/>
    <w:rsid w:val="004423E2"/>
    <w:rsid w:val="00445706"/>
    <w:rsid w:val="0045004A"/>
    <w:rsid w:val="004545F2"/>
    <w:rsid w:val="00454BDA"/>
    <w:rsid w:val="00457C9A"/>
    <w:rsid w:val="004611B1"/>
    <w:rsid w:val="0046258B"/>
    <w:rsid w:val="00466701"/>
    <w:rsid w:val="00471F88"/>
    <w:rsid w:val="00473304"/>
    <w:rsid w:val="00475B06"/>
    <w:rsid w:val="00476840"/>
    <w:rsid w:val="0048152F"/>
    <w:rsid w:val="0048585A"/>
    <w:rsid w:val="0048750F"/>
    <w:rsid w:val="0049066C"/>
    <w:rsid w:val="004912EF"/>
    <w:rsid w:val="004974D1"/>
    <w:rsid w:val="004A1580"/>
    <w:rsid w:val="004A19DD"/>
    <w:rsid w:val="004B0052"/>
    <w:rsid w:val="004B44B5"/>
    <w:rsid w:val="004C13D9"/>
    <w:rsid w:val="004C156B"/>
    <w:rsid w:val="004C1CE2"/>
    <w:rsid w:val="004C51FC"/>
    <w:rsid w:val="004C5BAD"/>
    <w:rsid w:val="004D5319"/>
    <w:rsid w:val="004D797B"/>
    <w:rsid w:val="004E0982"/>
    <w:rsid w:val="004E1DF7"/>
    <w:rsid w:val="004E2D60"/>
    <w:rsid w:val="004E2E62"/>
    <w:rsid w:val="004E3248"/>
    <w:rsid w:val="004E5392"/>
    <w:rsid w:val="004E73A7"/>
    <w:rsid w:val="004F030E"/>
    <w:rsid w:val="004F2DA8"/>
    <w:rsid w:val="004F4FE5"/>
    <w:rsid w:val="004F6112"/>
    <w:rsid w:val="004F6658"/>
    <w:rsid w:val="004F6BFF"/>
    <w:rsid w:val="004F71AE"/>
    <w:rsid w:val="00501E97"/>
    <w:rsid w:val="00502013"/>
    <w:rsid w:val="005038C9"/>
    <w:rsid w:val="00506E8C"/>
    <w:rsid w:val="00506FCF"/>
    <w:rsid w:val="0051294C"/>
    <w:rsid w:val="00512A8D"/>
    <w:rsid w:val="00521013"/>
    <w:rsid w:val="00526943"/>
    <w:rsid w:val="005314A7"/>
    <w:rsid w:val="00532870"/>
    <w:rsid w:val="005428EE"/>
    <w:rsid w:val="00543724"/>
    <w:rsid w:val="0054645B"/>
    <w:rsid w:val="00552B33"/>
    <w:rsid w:val="00553660"/>
    <w:rsid w:val="00553EB2"/>
    <w:rsid w:val="00556E4F"/>
    <w:rsid w:val="00560776"/>
    <w:rsid w:val="00560AFC"/>
    <w:rsid w:val="00560EAF"/>
    <w:rsid w:val="005619A3"/>
    <w:rsid w:val="00562503"/>
    <w:rsid w:val="0056664B"/>
    <w:rsid w:val="00567693"/>
    <w:rsid w:val="00570911"/>
    <w:rsid w:val="005723D7"/>
    <w:rsid w:val="005755EB"/>
    <w:rsid w:val="005757F7"/>
    <w:rsid w:val="0058037E"/>
    <w:rsid w:val="00581411"/>
    <w:rsid w:val="005817F6"/>
    <w:rsid w:val="00593238"/>
    <w:rsid w:val="00597885"/>
    <w:rsid w:val="005A0674"/>
    <w:rsid w:val="005A3838"/>
    <w:rsid w:val="005A3AA9"/>
    <w:rsid w:val="005A3AE6"/>
    <w:rsid w:val="005A3EAE"/>
    <w:rsid w:val="005A4A49"/>
    <w:rsid w:val="005A71F3"/>
    <w:rsid w:val="005A7726"/>
    <w:rsid w:val="005A77D3"/>
    <w:rsid w:val="005B0AE0"/>
    <w:rsid w:val="005B2146"/>
    <w:rsid w:val="005B2738"/>
    <w:rsid w:val="005B2C2E"/>
    <w:rsid w:val="005B3560"/>
    <w:rsid w:val="005B48B6"/>
    <w:rsid w:val="005B4B41"/>
    <w:rsid w:val="005B529F"/>
    <w:rsid w:val="005B612C"/>
    <w:rsid w:val="005B6B32"/>
    <w:rsid w:val="005B77DD"/>
    <w:rsid w:val="005C09F8"/>
    <w:rsid w:val="005C1A18"/>
    <w:rsid w:val="005C1BD8"/>
    <w:rsid w:val="005C2E63"/>
    <w:rsid w:val="005C5E8E"/>
    <w:rsid w:val="005C65E4"/>
    <w:rsid w:val="005D11F6"/>
    <w:rsid w:val="005D1D0B"/>
    <w:rsid w:val="005D72E3"/>
    <w:rsid w:val="005E0E7F"/>
    <w:rsid w:val="005E5A79"/>
    <w:rsid w:val="005F1482"/>
    <w:rsid w:val="005F1E3B"/>
    <w:rsid w:val="0060449D"/>
    <w:rsid w:val="00610F23"/>
    <w:rsid w:val="00613019"/>
    <w:rsid w:val="00621622"/>
    <w:rsid w:val="006226C5"/>
    <w:rsid w:val="00622FB6"/>
    <w:rsid w:val="0062351F"/>
    <w:rsid w:val="00625CE4"/>
    <w:rsid w:val="00631623"/>
    <w:rsid w:val="006316FF"/>
    <w:rsid w:val="00633F34"/>
    <w:rsid w:val="006346F2"/>
    <w:rsid w:val="00642FA5"/>
    <w:rsid w:val="00643E54"/>
    <w:rsid w:val="006520DA"/>
    <w:rsid w:val="00652414"/>
    <w:rsid w:val="0066087C"/>
    <w:rsid w:val="00665D96"/>
    <w:rsid w:val="00672C67"/>
    <w:rsid w:val="006733B9"/>
    <w:rsid w:val="006777F4"/>
    <w:rsid w:val="00680C37"/>
    <w:rsid w:val="0068235A"/>
    <w:rsid w:val="00691F14"/>
    <w:rsid w:val="00693D54"/>
    <w:rsid w:val="00695B4B"/>
    <w:rsid w:val="006A242C"/>
    <w:rsid w:val="006A3E01"/>
    <w:rsid w:val="006A4842"/>
    <w:rsid w:val="006A5F11"/>
    <w:rsid w:val="006B46FE"/>
    <w:rsid w:val="006B5B10"/>
    <w:rsid w:val="006C0BED"/>
    <w:rsid w:val="006C1512"/>
    <w:rsid w:val="006C5E14"/>
    <w:rsid w:val="006E199D"/>
    <w:rsid w:val="006E2154"/>
    <w:rsid w:val="006E526F"/>
    <w:rsid w:val="006F2F60"/>
    <w:rsid w:val="006F4261"/>
    <w:rsid w:val="006F5BB5"/>
    <w:rsid w:val="006F63F7"/>
    <w:rsid w:val="006F7720"/>
    <w:rsid w:val="00700D51"/>
    <w:rsid w:val="00701E4E"/>
    <w:rsid w:val="00703AAD"/>
    <w:rsid w:val="00704126"/>
    <w:rsid w:val="00704DC6"/>
    <w:rsid w:val="00706525"/>
    <w:rsid w:val="00707621"/>
    <w:rsid w:val="007171E1"/>
    <w:rsid w:val="00717422"/>
    <w:rsid w:val="00722137"/>
    <w:rsid w:val="00723710"/>
    <w:rsid w:val="00733427"/>
    <w:rsid w:val="00735573"/>
    <w:rsid w:val="00737F68"/>
    <w:rsid w:val="007424E1"/>
    <w:rsid w:val="00742D87"/>
    <w:rsid w:val="00751DC9"/>
    <w:rsid w:val="0075565C"/>
    <w:rsid w:val="007605DC"/>
    <w:rsid w:val="00761F62"/>
    <w:rsid w:val="00762C18"/>
    <w:rsid w:val="00766FB7"/>
    <w:rsid w:val="00772348"/>
    <w:rsid w:val="00772510"/>
    <w:rsid w:val="00773A1D"/>
    <w:rsid w:val="00773F42"/>
    <w:rsid w:val="00774264"/>
    <w:rsid w:val="00775445"/>
    <w:rsid w:val="00780EE2"/>
    <w:rsid w:val="007840FE"/>
    <w:rsid w:val="00784F8B"/>
    <w:rsid w:val="007871EE"/>
    <w:rsid w:val="007908B5"/>
    <w:rsid w:val="00793E08"/>
    <w:rsid w:val="00794A76"/>
    <w:rsid w:val="00795D56"/>
    <w:rsid w:val="007962F0"/>
    <w:rsid w:val="00797D92"/>
    <w:rsid w:val="007A0919"/>
    <w:rsid w:val="007A097F"/>
    <w:rsid w:val="007A4200"/>
    <w:rsid w:val="007B3DD4"/>
    <w:rsid w:val="007B5103"/>
    <w:rsid w:val="007B61B8"/>
    <w:rsid w:val="007B6A00"/>
    <w:rsid w:val="007C0D3D"/>
    <w:rsid w:val="007C31AE"/>
    <w:rsid w:val="007C36CD"/>
    <w:rsid w:val="007C3C87"/>
    <w:rsid w:val="007C3D16"/>
    <w:rsid w:val="007C47E4"/>
    <w:rsid w:val="007C4FF4"/>
    <w:rsid w:val="007D2436"/>
    <w:rsid w:val="007D2B3D"/>
    <w:rsid w:val="007D444F"/>
    <w:rsid w:val="007D4E58"/>
    <w:rsid w:val="007D56C8"/>
    <w:rsid w:val="007D7F00"/>
    <w:rsid w:val="007E1CCC"/>
    <w:rsid w:val="007E459A"/>
    <w:rsid w:val="007E4929"/>
    <w:rsid w:val="007E720E"/>
    <w:rsid w:val="007E72F0"/>
    <w:rsid w:val="007F009F"/>
    <w:rsid w:val="007F0BF3"/>
    <w:rsid w:val="007F0D47"/>
    <w:rsid w:val="007F2B03"/>
    <w:rsid w:val="007F33BC"/>
    <w:rsid w:val="007F6C9D"/>
    <w:rsid w:val="00800BE6"/>
    <w:rsid w:val="0080256D"/>
    <w:rsid w:val="00802E22"/>
    <w:rsid w:val="00812702"/>
    <w:rsid w:val="0081659F"/>
    <w:rsid w:val="008165F1"/>
    <w:rsid w:val="008235B6"/>
    <w:rsid w:val="008329A5"/>
    <w:rsid w:val="00832C53"/>
    <w:rsid w:val="008353A0"/>
    <w:rsid w:val="00846B19"/>
    <w:rsid w:val="008509A5"/>
    <w:rsid w:val="008521F8"/>
    <w:rsid w:val="00852E79"/>
    <w:rsid w:val="008550E4"/>
    <w:rsid w:val="00855CA7"/>
    <w:rsid w:val="00855F3C"/>
    <w:rsid w:val="00857998"/>
    <w:rsid w:val="00862373"/>
    <w:rsid w:val="008702C7"/>
    <w:rsid w:val="00871EEE"/>
    <w:rsid w:val="008814B7"/>
    <w:rsid w:val="00882EDF"/>
    <w:rsid w:val="008855D8"/>
    <w:rsid w:val="00885B43"/>
    <w:rsid w:val="00885EDD"/>
    <w:rsid w:val="00891909"/>
    <w:rsid w:val="0089196E"/>
    <w:rsid w:val="00894546"/>
    <w:rsid w:val="008956AE"/>
    <w:rsid w:val="008962B9"/>
    <w:rsid w:val="008B27AB"/>
    <w:rsid w:val="008B474A"/>
    <w:rsid w:val="008B4752"/>
    <w:rsid w:val="008C0F7F"/>
    <w:rsid w:val="008C19A0"/>
    <w:rsid w:val="008C5F52"/>
    <w:rsid w:val="008D1294"/>
    <w:rsid w:val="008D4748"/>
    <w:rsid w:val="008D493B"/>
    <w:rsid w:val="008D5E82"/>
    <w:rsid w:val="008E15CC"/>
    <w:rsid w:val="008E5F67"/>
    <w:rsid w:val="008E7EF2"/>
    <w:rsid w:val="008F0D75"/>
    <w:rsid w:val="00912649"/>
    <w:rsid w:val="009141CE"/>
    <w:rsid w:val="00914978"/>
    <w:rsid w:val="0092032F"/>
    <w:rsid w:val="00921CBB"/>
    <w:rsid w:val="009220F6"/>
    <w:rsid w:val="00923540"/>
    <w:rsid w:val="009238C5"/>
    <w:rsid w:val="00926CE3"/>
    <w:rsid w:val="00927493"/>
    <w:rsid w:val="00930153"/>
    <w:rsid w:val="00936842"/>
    <w:rsid w:val="00944770"/>
    <w:rsid w:val="00950C79"/>
    <w:rsid w:val="00952E84"/>
    <w:rsid w:val="00952F21"/>
    <w:rsid w:val="00954DE5"/>
    <w:rsid w:val="00956D46"/>
    <w:rsid w:val="00957FE6"/>
    <w:rsid w:val="00961F56"/>
    <w:rsid w:val="00973D9E"/>
    <w:rsid w:val="00973DF8"/>
    <w:rsid w:val="00975B93"/>
    <w:rsid w:val="009803F9"/>
    <w:rsid w:val="00981623"/>
    <w:rsid w:val="0098375F"/>
    <w:rsid w:val="0098511D"/>
    <w:rsid w:val="00985485"/>
    <w:rsid w:val="00986075"/>
    <w:rsid w:val="00991298"/>
    <w:rsid w:val="00991A54"/>
    <w:rsid w:val="009932BD"/>
    <w:rsid w:val="009934FA"/>
    <w:rsid w:val="00994166"/>
    <w:rsid w:val="009A14E2"/>
    <w:rsid w:val="009B00C3"/>
    <w:rsid w:val="009B0CBC"/>
    <w:rsid w:val="009C0139"/>
    <w:rsid w:val="009C0E57"/>
    <w:rsid w:val="009C2F7D"/>
    <w:rsid w:val="009C55FF"/>
    <w:rsid w:val="009D6A3C"/>
    <w:rsid w:val="009D6EB2"/>
    <w:rsid w:val="009E3332"/>
    <w:rsid w:val="009E41C3"/>
    <w:rsid w:val="009E761C"/>
    <w:rsid w:val="009F0156"/>
    <w:rsid w:val="009F0F45"/>
    <w:rsid w:val="009F1E08"/>
    <w:rsid w:val="009F33A3"/>
    <w:rsid w:val="009F5379"/>
    <w:rsid w:val="009F698B"/>
    <w:rsid w:val="00A0033D"/>
    <w:rsid w:val="00A03EC8"/>
    <w:rsid w:val="00A0604C"/>
    <w:rsid w:val="00A11B0D"/>
    <w:rsid w:val="00A120BD"/>
    <w:rsid w:val="00A176AA"/>
    <w:rsid w:val="00A205D5"/>
    <w:rsid w:val="00A239B4"/>
    <w:rsid w:val="00A23D5F"/>
    <w:rsid w:val="00A25AFF"/>
    <w:rsid w:val="00A32DC9"/>
    <w:rsid w:val="00A33349"/>
    <w:rsid w:val="00A33FE6"/>
    <w:rsid w:val="00A44D43"/>
    <w:rsid w:val="00A452D2"/>
    <w:rsid w:val="00A470EC"/>
    <w:rsid w:val="00A50C4A"/>
    <w:rsid w:val="00A50F78"/>
    <w:rsid w:val="00A51224"/>
    <w:rsid w:val="00A5755C"/>
    <w:rsid w:val="00A63E56"/>
    <w:rsid w:val="00A66FD8"/>
    <w:rsid w:val="00A670EA"/>
    <w:rsid w:val="00A7100E"/>
    <w:rsid w:val="00A71A98"/>
    <w:rsid w:val="00A7291A"/>
    <w:rsid w:val="00A7417E"/>
    <w:rsid w:val="00A819B1"/>
    <w:rsid w:val="00A9009D"/>
    <w:rsid w:val="00A9242A"/>
    <w:rsid w:val="00A92BC1"/>
    <w:rsid w:val="00AA28F0"/>
    <w:rsid w:val="00AA2C54"/>
    <w:rsid w:val="00AA3EF4"/>
    <w:rsid w:val="00AA65DC"/>
    <w:rsid w:val="00AA7CBC"/>
    <w:rsid w:val="00AB36D0"/>
    <w:rsid w:val="00AB4CA0"/>
    <w:rsid w:val="00AB59CA"/>
    <w:rsid w:val="00AB60CB"/>
    <w:rsid w:val="00AC0C78"/>
    <w:rsid w:val="00AC175C"/>
    <w:rsid w:val="00AC4BC5"/>
    <w:rsid w:val="00AC6896"/>
    <w:rsid w:val="00AD4ACE"/>
    <w:rsid w:val="00AD4BAD"/>
    <w:rsid w:val="00AD5676"/>
    <w:rsid w:val="00AD5886"/>
    <w:rsid w:val="00AD6E3F"/>
    <w:rsid w:val="00AE08D5"/>
    <w:rsid w:val="00AE3466"/>
    <w:rsid w:val="00AF1471"/>
    <w:rsid w:val="00AF36BF"/>
    <w:rsid w:val="00AF53EC"/>
    <w:rsid w:val="00AF647B"/>
    <w:rsid w:val="00B010E5"/>
    <w:rsid w:val="00B048AA"/>
    <w:rsid w:val="00B13870"/>
    <w:rsid w:val="00B1500D"/>
    <w:rsid w:val="00B1629F"/>
    <w:rsid w:val="00B1672F"/>
    <w:rsid w:val="00B30486"/>
    <w:rsid w:val="00B3494F"/>
    <w:rsid w:val="00B427DC"/>
    <w:rsid w:val="00B44119"/>
    <w:rsid w:val="00B4671F"/>
    <w:rsid w:val="00B50F62"/>
    <w:rsid w:val="00B55AA4"/>
    <w:rsid w:val="00B60779"/>
    <w:rsid w:val="00B61496"/>
    <w:rsid w:val="00B63E05"/>
    <w:rsid w:val="00B66717"/>
    <w:rsid w:val="00B67AA7"/>
    <w:rsid w:val="00B72669"/>
    <w:rsid w:val="00B76DF4"/>
    <w:rsid w:val="00B76EEF"/>
    <w:rsid w:val="00B776C1"/>
    <w:rsid w:val="00B867D1"/>
    <w:rsid w:val="00B92977"/>
    <w:rsid w:val="00B92987"/>
    <w:rsid w:val="00B9437F"/>
    <w:rsid w:val="00B96073"/>
    <w:rsid w:val="00B962B5"/>
    <w:rsid w:val="00B968F0"/>
    <w:rsid w:val="00B96DB3"/>
    <w:rsid w:val="00BA2D4B"/>
    <w:rsid w:val="00BA3FBD"/>
    <w:rsid w:val="00BA7F8D"/>
    <w:rsid w:val="00BB48CE"/>
    <w:rsid w:val="00BB4CED"/>
    <w:rsid w:val="00BB57BA"/>
    <w:rsid w:val="00BB67B3"/>
    <w:rsid w:val="00BC3CDC"/>
    <w:rsid w:val="00BC4382"/>
    <w:rsid w:val="00BC5D5E"/>
    <w:rsid w:val="00BC6D9B"/>
    <w:rsid w:val="00BC7D69"/>
    <w:rsid w:val="00BC7FC3"/>
    <w:rsid w:val="00BD5B4F"/>
    <w:rsid w:val="00BD7B20"/>
    <w:rsid w:val="00BE0E9A"/>
    <w:rsid w:val="00BE4D46"/>
    <w:rsid w:val="00BE4D54"/>
    <w:rsid w:val="00BE72CC"/>
    <w:rsid w:val="00BF0580"/>
    <w:rsid w:val="00BF185A"/>
    <w:rsid w:val="00BF2DD0"/>
    <w:rsid w:val="00C01970"/>
    <w:rsid w:val="00C032A0"/>
    <w:rsid w:val="00C05C98"/>
    <w:rsid w:val="00C06939"/>
    <w:rsid w:val="00C0782F"/>
    <w:rsid w:val="00C20DBD"/>
    <w:rsid w:val="00C246E2"/>
    <w:rsid w:val="00C24BCF"/>
    <w:rsid w:val="00C27505"/>
    <w:rsid w:val="00C30F82"/>
    <w:rsid w:val="00C35EEA"/>
    <w:rsid w:val="00C40F18"/>
    <w:rsid w:val="00C41F0D"/>
    <w:rsid w:val="00C42F38"/>
    <w:rsid w:val="00C5033A"/>
    <w:rsid w:val="00C50B8F"/>
    <w:rsid w:val="00C525DF"/>
    <w:rsid w:val="00C52DB2"/>
    <w:rsid w:val="00C546DD"/>
    <w:rsid w:val="00C54918"/>
    <w:rsid w:val="00C553C3"/>
    <w:rsid w:val="00C64A12"/>
    <w:rsid w:val="00C650DE"/>
    <w:rsid w:val="00C66303"/>
    <w:rsid w:val="00C66BB9"/>
    <w:rsid w:val="00C7017C"/>
    <w:rsid w:val="00C73986"/>
    <w:rsid w:val="00C7746B"/>
    <w:rsid w:val="00C77C77"/>
    <w:rsid w:val="00C8105F"/>
    <w:rsid w:val="00C81379"/>
    <w:rsid w:val="00C816B2"/>
    <w:rsid w:val="00C81970"/>
    <w:rsid w:val="00C87101"/>
    <w:rsid w:val="00C94D24"/>
    <w:rsid w:val="00C967CD"/>
    <w:rsid w:val="00CA0B2C"/>
    <w:rsid w:val="00CA1024"/>
    <w:rsid w:val="00CA290E"/>
    <w:rsid w:val="00CA3A89"/>
    <w:rsid w:val="00CA4EA9"/>
    <w:rsid w:val="00CB2ED2"/>
    <w:rsid w:val="00CB5DCB"/>
    <w:rsid w:val="00CB61D6"/>
    <w:rsid w:val="00CC0015"/>
    <w:rsid w:val="00CC263F"/>
    <w:rsid w:val="00CD2C52"/>
    <w:rsid w:val="00CD602C"/>
    <w:rsid w:val="00CD62C1"/>
    <w:rsid w:val="00CD7481"/>
    <w:rsid w:val="00CE2A66"/>
    <w:rsid w:val="00CE375B"/>
    <w:rsid w:val="00CE7232"/>
    <w:rsid w:val="00CE79D7"/>
    <w:rsid w:val="00CF1C01"/>
    <w:rsid w:val="00CF390A"/>
    <w:rsid w:val="00D023CF"/>
    <w:rsid w:val="00D043F3"/>
    <w:rsid w:val="00D11F90"/>
    <w:rsid w:val="00D126D3"/>
    <w:rsid w:val="00D12DF6"/>
    <w:rsid w:val="00D21546"/>
    <w:rsid w:val="00D22A0E"/>
    <w:rsid w:val="00D241C5"/>
    <w:rsid w:val="00D24F9A"/>
    <w:rsid w:val="00D25230"/>
    <w:rsid w:val="00D345C2"/>
    <w:rsid w:val="00D35886"/>
    <w:rsid w:val="00D37A72"/>
    <w:rsid w:val="00D41BFE"/>
    <w:rsid w:val="00D42B90"/>
    <w:rsid w:val="00D520F5"/>
    <w:rsid w:val="00D5213E"/>
    <w:rsid w:val="00D52723"/>
    <w:rsid w:val="00D530E5"/>
    <w:rsid w:val="00D54714"/>
    <w:rsid w:val="00D604F2"/>
    <w:rsid w:val="00D658CF"/>
    <w:rsid w:val="00D74542"/>
    <w:rsid w:val="00D74D35"/>
    <w:rsid w:val="00D77B41"/>
    <w:rsid w:val="00D80278"/>
    <w:rsid w:val="00D81180"/>
    <w:rsid w:val="00D9349A"/>
    <w:rsid w:val="00DA0D5E"/>
    <w:rsid w:val="00DA16AA"/>
    <w:rsid w:val="00DA30BF"/>
    <w:rsid w:val="00DA3FE8"/>
    <w:rsid w:val="00DA50C9"/>
    <w:rsid w:val="00DB1CEE"/>
    <w:rsid w:val="00DB3E9E"/>
    <w:rsid w:val="00DB591E"/>
    <w:rsid w:val="00DC30C9"/>
    <w:rsid w:val="00DD0D6E"/>
    <w:rsid w:val="00DD18CE"/>
    <w:rsid w:val="00DD1A16"/>
    <w:rsid w:val="00DD42EC"/>
    <w:rsid w:val="00DE0681"/>
    <w:rsid w:val="00DE5FDB"/>
    <w:rsid w:val="00DF0128"/>
    <w:rsid w:val="00DF2564"/>
    <w:rsid w:val="00DF2DC2"/>
    <w:rsid w:val="00DF5F9F"/>
    <w:rsid w:val="00E012CA"/>
    <w:rsid w:val="00E04A97"/>
    <w:rsid w:val="00E05A01"/>
    <w:rsid w:val="00E20678"/>
    <w:rsid w:val="00E23D9D"/>
    <w:rsid w:val="00E30145"/>
    <w:rsid w:val="00E32CDA"/>
    <w:rsid w:val="00E42B8D"/>
    <w:rsid w:val="00E42DFA"/>
    <w:rsid w:val="00E45770"/>
    <w:rsid w:val="00E520D2"/>
    <w:rsid w:val="00E52F69"/>
    <w:rsid w:val="00E55C18"/>
    <w:rsid w:val="00E6288B"/>
    <w:rsid w:val="00E638E7"/>
    <w:rsid w:val="00E65313"/>
    <w:rsid w:val="00E702FB"/>
    <w:rsid w:val="00E71137"/>
    <w:rsid w:val="00E72EC0"/>
    <w:rsid w:val="00E750D4"/>
    <w:rsid w:val="00E767B8"/>
    <w:rsid w:val="00E808C9"/>
    <w:rsid w:val="00E8326A"/>
    <w:rsid w:val="00E91974"/>
    <w:rsid w:val="00E9307D"/>
    <w:rsid w:val="00E96C5B"/>
    <w:rsid w:val="00EA10FE"/>
    <w:rsid w:val="00EA17F8"/>
    <w:rsid w:val="00EA5CFD"/>
    <w:rsid w:val="00EB0631"/>
    <w:rsid w:val="00EB09CB"/>
    <w:rsid w:val="00EB3C5A"/>
    <w:rsid w:val="00EB3D74"/>
    <w:rsid w:val="00EC0B6B"/>
    <w:rsid w:val="00EC1538"/>
    <w:rsid w:val="00EC3057"/>
    <w:rsid w:val="00ED0F91"/>
    <w:rsid w:val="00ED2DB3"/>
    <w:rsid w:val="00ED3D82"/>
    <w:rsid w:val="00ED4051"/>
    <w:rsid w:val="00ED4F45"/>
    <w:rsid w:val="00ED746E"/>
    <w:rsid w:val="00EE1598"/>
    <w:rsid w:val="00EE262B"/>
    <w:rsid w:val="00EE31D1"/>
    <w:rsid w:val="00EE664B"/>
    <w:rsid w:val="00EE68D1"/>
    <w:rsid w:val="00EE714E"/>
    <w:rsid w:val="00EF32F9"/>
    <w:rsid w:val="00EF57A8"/>
    <w:rsid w:val="00EF5B65"/>
    <w:rsid w:val="00EF6352"/>
    <w:rsid w:val="00EF79CB"/>
    <w:rsid w:val="00EF7E0B"/>
    <w:rsid w:val="00F007E2"/>
    <w:rsid w:val="00F00D24"/>
    <w:rsid w:val="00F02180"/>
    <w:rsid w:val="00F026BD"/>
    <w:rsid w:val="00F06630"/>
    <w:rsid w:val="00F156D9"/>
    <w:rsid w:val="00F1602D"/>
    <w:rsid w:val="00F22B29"/>
    <w:rsid w:val="00F235BF"/>
    <w:rsid w:val="00F2564B"/>
    <w:rsid w:val="00F2628D"/>
    <w:rsid w:val="00F27DBF"/>
    <w:rsid w:val="00F300F5"/>
    <w:rsid w:val="00F311F9"/>
    <w:rsid w:val="00F355E6"/>
    <w:rsid w:val="00F35FE4"/>
    <w:rsid w:val="00F401E7"/>
    <w:rsid w:val="00F407B4"/>
    <w:rsid w:val="00F43CA4"/>
    <w:rsid w:val="00F607FD"/>
    <w:rsid w:val="00F63729"/>
    <w:rsid w:val="00F65C5A"/>
    <w:rsid w:val="00F709BD"/>
    <w:rsid w:val="00F70A8D"/>
    <w:rsid w:val="00F70DD5"/>
    <w:rsid w:val="00F70E49"/>
    <w:rsid w:val="00F71AA1"/>
    <w:rsid w:val="00F71F1F"/>
    <w:rsid w:val="00F752F3"/>
    <w:rsid w:val="00F80559"/>
    <w:rsid w:val="00F81F29"/>
    <w:rsid w:val="00F82F1C"/>
    <w:rsid w:val="00F83396"/>
    <w:rsid w:val="00F83FF1"/>
    <w:rsid w:val="00F849FD"/>
    <w:rsid w:val="00F90219"/>
    <w:rsid w:val="00F91559"/>
    <w:rsid w:val="00F94A92"/>
    <w:rsid w:val="00F96038"/>
    <w:rsid w:val="00F97984"/>
    <w:rsid w:val="00FA06B5"/>
    <w:rsid w:val="00FA2A9E"/>
    <w:rsid w:val="00FA2BBA"/>
    <w:rsid w:val="00FA3B5D"/>
    <w:rsid w:val="00FB0967"/>
    <w:rsid w:val="00FB2B52"/>
    <w:rsid w:val="00FB3455"/>
    <w:rsid w:val="00FB5138"/>
    <w:rsid w:val="00FC00A0"/>
    <w:rsid w:val="00FC031C"/>
    <w:rsid w:val="00FD112F"/>
    <w:rsid w:val="00FD1419"/>
    <w:rsid w:val="00FD6A76"/>
    <w:rsid w:val="00FE0388"/>
    <w:rsid w:val="00FE1D1B"/>
    <w:rsid w:val="00FE20DB"/>
    <w:rsid w:val="00FF07F9"/>
    <w:rsid w:val="00FF4C67"/>
    <w:rsid w:val="022A731E"/>
    <w:rsid w:val="02A64119"/>
    <w:rsid w:val="043D6C25"/>
    <w:rsid w:val="048667D3"/>
    <w:rsid w:val="049E006D"/>
    <w:rsid w:val="054C634F"/>
    <w:rsid w:val="07BD0E51"/>
    <w:rsid w:val="08DB7764"/>
    <w:rsid w:val="0C9A6ED5"/>
    <w:rsid w:val="100603AC"/>
    <w:rsid w:val="10F1631B"/>
    <w:rsid w:val="12A93FD5"/>
    <w:rsid w:val="130C2FEE"/>
    <w:rsid w:val="13CE1647"/>
    <w:rsid w:val="17B84A32"/>
    <w:rsid w:val="19B01875"/>
    <w:rsid w:val="1A1C1CFA"/>
    <w:rsid w:val="1AD4001C"/>
    <w:rsid w:val="1C3E1334"/>
    <w:rsid w:val="1CFD4AD4"/>
    <w:rsid w:val="1D070020"/>
    <w:rsid w:val="1EB274DF"/>
    <w:rsid w:val="20106F8E"/>
    <w:rsid w:val="22B36787"/>
    <w:rsid w:val="231125AC"/>
    <w:rsid w:val="24077BFF"/>
    <w:rsid w:val="26A5092E"/>
    <w:rsid w:val="28260401"/>
    <w:rsid w:val="2B110340"/>
    <w:rsid w:val="2CF51D47"/>
    <w:rsid w:val="2F640DE8"/>
    <w:rsid w:val="31190CC6"/>
    <w:rsid w:val="33FD7752"/>
    <w:rsid w:val="37922635"/>
    <w:rsid w:val="379540A7"/>
    <w:rsid w:val="3989156E"/>
    <w:rsid w:val="3A15477F"/>
    <w:rsid w:val="3A242466"/>
    <w:rsid w:val="3C47334E"/>
    <w:rsid w:val="3CB26D1E"/>
    <w:rsid w:val="3EF07F7A"/>
    <w:rsid w:val="43ED3C40"/>
    <w:rsid w:val="495323ED"/>
    <w:rsid w:val="4AF3601A"/>
    <w:rsid w:val="4BA315C9"/>
    <w:rsid w:val="4CC6446A"/>
    <w:rsid w:val="544D740E"/>
    <w:rsid w:val="55AE0FCF"/>
    <w:rsid w:val="58FE18D5"/>
    <w:rsid w:val="594914BB"/>
    <w:rsid w:val="5CA82CD1"/>
    <w:rsid w:val="5FCE09A6"/>
    <w:rsid w:val="60ED5F11"/>
    <w:rsid w:val="64122457"/>
    <w:rsid w:val="646426D5"/>
    <w:rsid w:val="64BC4F31"/>
    <w:rsid w:val="64C3416F"/>
    <w:rsid w:val="6624577F"/>
    <w:rsid w:val="67161F83"/>
    <w:rsid w:val="68817BAC"/>
    <w:rsid w:val="68DB6F84"/>
    <w:rsid w:val="6A1706CF"/>
    <w:rsid w:val="6A563FBC"/>
    <w:rsid w:val="6A7E3167"/>
    <w:rsid w:val="6D873407"/>
    <w:rsid w:val="6DA24319"/>
    <w:rsid w:val="6EA81B75"/>
    <w:rsid w:val="6FE35A27"/>
    <w:rsid w:val="72167982"/>
    <w:rsid w:val="739B783A"/>
    <w:rsid w:val="75536D10"/>
    <w:rsid w:val="75B30C82"/>
    <w:rsid w:val="770E7892"/>
    <w:rsid w:val="77980A6E"/>
    <w:rsid w:val="77F71564"/>
    <w:rsid w:val="792A54A4"/>
    <w:rsid w:val="79F1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AB5F36-35E4-4A40-8C52-DA5F508A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F70DD5"/>
    <w:rPr>
      <w:sz w:val="18"/>
      <w:szCs w:val="18"/>
    </w:rPr>
  </w:style>
  <w:style w:type="paragraph" w:styleId="a4">
    <w:name w:val="footer"/>
    <w:basedOn w:val="a"/>
    <w:link w:val="a5"/>
    <w:qFormat/>
    <w:rsid w:val="00F70DD5"/>
    <w:pPr>
      <w:tabs>
        <w:tab w:val="center" w:pos="4153"/>
        <w:tab w:val="right" w:pos="8306"/>
      </w:tabs>
      <w:snapToGrid w:val="0"/>
      <w:jc w:val="left"/>
    </w:pPr>
    <w:rPr>
      <w:sz w:val="18"/>
      <w:szCs w:val="18"/>
    </w:rPr>
  </w:style>
  <w:style w:type="paragraph" w:styleId="a6">
    <w:name w:val="header"/>
    <w:basedOn w:val="a"/>
    <w:link w:val="a7"/>
    <w:qFormat/>
    <w:rsid w:val="00F70DD5"/>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F70D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rsid w:val="00F70DD5"/>
  </w:style>
  <w:style w:type="character" w:styleId="aa">
    <w:name w:val="Hyperlink"/>
    <w:qFormat/>
    <w:rsid w:val="00F70DD5"/>
    <w:rPr>
      <w:color w:val="0000FF"/>
      <w:u w:val="single"/>
    </w:rPr>
  </w:style>
  <w:style w:type="character" w:customStyle="1" w:styleId="1">
    <w:name w:val="已访问的超链接1"/>
    <w:qFormat/>
    <w:rsid w:val="00F70DD5"/>
    <w:rPr>
      <w:color w:val="800080"/>
      <w:u w:val="single"/>
    </w:rPr>
  </w:style>
  <w:style w:type="character" w:customStyle="1" w:styleId="a7">
    <w:name w:val="页眉 字符"/>
    <w:link w:val="a6"/>
    <w:qFormat/>
    <w:rsid w:val="00F70DD5"/>
    <w:rPr>
      <w:kern w:val="2"/>
      <w:sz w:val="18"/>
      <w:szCs w:val="18"/>
    </w:rPr>
  </w:style>
  <w:style w:type="character" w:customStyle="1" w:styleId="a5">
    <w:name w:val="页脚 字符"/>
    <w:link w:val="a4"/>
    <w:qFormat/>
    <w:rsid w:val="00F70DD5"/>
    <w:rPr>
      <w:kern w:val="2"/>
      <w:sz w:val="18"/>
      <w:szCs w:val="18"/>
    </w:rPr>
  </w:style>
  <w:style w:type="paragraph" w:customStyle="1" w:styleId="21">
    <w:name w:val="目录 21"/>
    <w:basedOn w:val="a"/>
    <w:next w:val="a"/>
    <w:uiPriority w:val="39"/>
    <w:qFormat/>
    <w:rsid w:val="00F70DD5"/>
    <w:pPr>
      <w:tabs>
        <w:tab w:val="right" w:leader="dot" w:pos="8494"/>
      </w:tabs>
      <w:spacing w:line="560" w:lineRule="exact"/>
      <w:ind w:left="210"/>
      <w:jc w:val="left"/>
    </w:pPr>
    <w:rPr>
      <w:rFonts w:ascii="仿宋_GB2312" w:eastAsia="仿宋_GB2312" w:hAnsi="Calibri" w:cs="Calibri"/>
      <w:smallCaps/>
      <w:sz w:val="28"/>
      <w:szCs w:val="28"/>
    </w:rPr>
  </w:style>
  <w:style w:type="paragraph" w:customStyle="1" w:styleId="11">
    <w:name w:val="目录 11"/>
    <w:basedOn w:val="a"/>
    <w:next w:val="a"/>
    <w:uiPriority w:val="39"/>
    <w:qFormat/>
    <w:rsid w:val="00F70DD5"/>
    <w:pPr>
      <w:tabs>
        <w:tab w:val="left" w:pos="840"/>
        <w:tab w:val="right" w:leader="dot" w:pos="8296"/>
      </w:tabs>
      <w:spacing w:line="560" w:lineRule="exact"/>
      <w:jc w:val="left"/>
    </w:pPr>
    <w:rPr>
      <w:rFonts w:ascii="仿宋_GB2312" w:eastAsia="仿宋_GB2312" w:hAnsi="新宋体" w:cs="Calibri"/>
      <w:b/>
      <w:bCs/>
      <w:caps/>
      <w:sz w:val="28"/>
      <w:szCs w:val="28"/>
    </w:rPr>
  </w:style>
  <w:style w:type="paragraph" w:customStyle="1" w:styleId="CharCharCharCharCharCharChar">
    <w:name w:val="Char Char Char Char Char Char Char"/>
    <w:basedOn w:val="a"/>
    <w:qFormat/>
    <w:rsid w:val="00F70DD5"/>
    <w:rPr>
      <w:szCs w:val="21"/>
    </w:rPr>
  </w:style>
  <w:style w:type="paragraph" w:customStyle="1" w:styleId="10">
    <w:name w:val="列出段落1"/>
    <w:basedOn w:val="a"/>
    <w:uiPriority w:val="34"/>
    <w:qFormat/>
    <w:rsid w:val="00F70DD5"/>
    <w:pPr>
      <w:ind w:firstLineChars="200" w:firstLine="420"/>
    </w:pPr>
    <w:rPr>
      <w:rFonts w:ascii="Calibri" w:hAnsi="Calibri"/>
      <w:szCs w:val="22"/>
    </w:rPr>
  </w:style>
  <w:style w:type="paragraph" w:styleId="ab">
    <w:name w:val="Body Text"/>
    <w:basedOn w:val="a"/>
    <w:link w:val="ac"/>
    <w:uiPriority w:val="1"/>
    <w:qFormat/>
    <w:rsid w:val="007908B5"/>
    <w:pPr>
      <w:suppressAutoHyphens/>
      <w:jc w:val="left"/>
    </w:pPr>
    <w:rPr>
      <w:rFonts w:ascii="Arial Unicode MS" w:eastAsia="Arial Unicode MS" w:hAnsi="Arial Unicode MS" w:cs="Arial Unicode MS"/>
      <w:kern w:val="0"/>
      <w:sz w:val="32"/>
      <w:szCs w:val="32"/>
      <w:lang w:val="zh-CN" w:bidi="zh-CN"/>
    </w:rPr>
  </w:style>
  <w:style w:type="character" w:customStyle="1" w:styleId="ac">
    <w:name w:val="正文文本 字符"/>
    <w:basedOn w:val="a0"/>
    <w:link w:val="ab"/>
    <w:uiPriority w:val="1"/>
    <w:rsid w:val="007908B5"/>
    <w:rPr>
      <w:rFonts w:ascii="Arial Unicode MS" w:eastAsia="Arial Unicode MS" w:hAnsi="Arial Unicode MS" w:cs="Arial Unicode MS"/>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687</Words>
  <Characters>3922</Characters>
  <Application>Microsoft Office Word</Application>
  <DocSecurity>0</DocSecurity>
  <Lines>32</Lines>
  <Paragraphs>9</Paragraphs>
  <ScaleCrop>false</ScaleCrop>
  <Company>czj</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关于进行本市部门整体支出</dc:title>
  <dc:creator>傅海英</dc:creator>
  <cp:lastModifiedBy>付冰</cp:lastModifiedBy>
  <cp:revision>3</cp:revision>
  <cp:lastPrinted>2019-06-21T02:10:00Z</cp:lastPrinted>
  <dcterms:created xsi:type="dcterms:W3CDTF">2024-09-30T05:38:00Z</dcterms:created>
  <dcterms:modified xsi:type="dcterms:W3CDTF">2024-09-30T07:48:00Z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739EEDB2ECE141DEAF0C3D87D58590AD_13</vt:lpwstr>
  </property>
</Properties>
</file>