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月）</w:t>
      </w:r>
    </w:p>
    <w:p>
      <w:pPr>
        <w:spacing w:line="240" w:lineRule="exact"/>
        <w:jc w:val="center"/>
        <w:rPr>
          <w:rFonts w:hint="default" w:ascii="Times New Roman" w:hAnsi="Times New Roman" w:eastAsia="黑体" w:cs="Times New Roman"/>
          <w:sz w:val="36"/>
          <w:szCs w:val="36"/>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w:t>
      </w:r>
      <w:r>
        <w:rPr>
          <w:rFonts w:hint="default" w:ascii="Times New Roman" w:hAnsi="Times New Roman" w:eastAsia="仿宋_GB2312" w:cs="Times New Roman"/>
          <w:iCs/>
          <w:color w:val="000000"/>
          <w:sz w:val="28"/>
          <w:szCs w:val="28"/>
          <w:lang w:val="en-US" w:eastAsia="zh-CN"/>
        </w:rPr>
        <w:t>23</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3</w:t>
      </w:r>
      <w:r>
        <w:rPr>
          <w:rFonts w:hint="default" w:ascii="Times New Roman" w:hAnsi="Times New Roman" w:eastAsia="仿宋_GB2312" w:cs="Times New Roman"/>
          <w:iCs/>
          <w:color w:val="000000"/>
          <w:sz w:val="28"/>
          <w:szCs w:val="28"/>
        </w:rPr>
        <w:t>年</w:t>
      </w:r>
      <w:r>
        <w:rPr>
          <w:rFonts w:hint="default" w:ascii="Times New Roman" w:hAnsi="Times New Roman" w:eastAsia="仿宋_GB2312" w:cs="Times New Roman"/>
          <w:iCs/>
          <w:color w:val="000000"/>
          <w:sz w:val="28"/>
          <w:szCs w:val="28"/>
          <w:lang w:val="en-US" w:eastAsia="zh-CN"/>
        </w:rPr>
        <w:t>5</w:t>
      </w:r>
      <w:r>
        <w:rPr>
          <w:rFonts w:hint="default" w:ascii="Times New Roman" w:hAnsi="Times New Roman" w:eastAsia="仿宋_GB2312" w:cs="Times New Roman"/>
          <w:iCs/>
          <w:color w:val="000000"/>
          <w:sz w:val="28"/>
          <w:szCs w:val="28"/>
        </w:rPr>
        <w:t>月，13个水源地考核指标均达标。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eastAsia="黑体" w:cs="Times New Roman"/>
          <w:szCs w:val="21"/>
        </w:rPr>
        <w:t>注：</w:t>
      </w:r>
      <w:r>
        <w:rPr>
          <w:rFonts w:hint="default"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FD7B70"/>
    <w:rsid w:val="293D755D"/>
    <w:rsid w:val="2DDC713B"/>
    <w:rsid w:val="2ECE5292"/>
    <w:rsid w:val="302B46D7"/>
    <w:rsid w:val="39C5379D"/>
    <w:rsid w:val="3D220A02"/>
    <w:rsid w:val="3DDF184F"/>
    <w:rsid w:val="462E19CD"/>
    <w:rsid w:val="497D6C2D"/>
    <w:rsid w:val="52D57D57"/>
    <w:rsid w:val="56455B4F"/>
    <w:rsid w:val="573155E3"/>
    <w:rsid w:val="58D60806"/>
    <w:rsid w:val="5BD70BD6"/>
    <w:rsid w:val="606A1672"/>
    <w:rsid w:val="64410F8F"/>
    <w:rsid w:val="68E31198"/>
    <w:rsid w:val="71B0518A"/>
    <w:rsid w:val="71C6787A"/>
    <w:rsid w:val="77C44453"/>
    <w:rsid w:val="77E7617E"/>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2023-06-14T07:36:58Z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