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6</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6</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1F85D8C"/>
    <w:rsid w:val="123F1E23"/>
    <w:rsid w:val="181B3634"/>
    <w:rsid w:val="1B1C4F16"/>
    <w:rsid w:val="1D1A541D"/>
    <w:rsid w:val="257007B0"/>
    <w:rsid w:val="26273AE2"/>
    <w:rsid w:val="271124FA"/>
    <w:rsid w:val="27FD7B70"/>
    <w:rsid w:val="293D755D"/>
    <w:rsid w:val="2DDC713B"/>
    <w:rsid w:val="302B46D7"/>
    <w:rsid w:val="39C5379D"/>
    <w:rsid w:val="3D220A02"/>
    <w:rsid w:val="3DDF184F"/>
    <w:rsid w:val="497D6C2D"/>
    <w:rsid w:val="49B02C2E"/>
    <w:rsid w:val="56455B4F"/>
    <w:rsid w:val="573155E3"/>
    <w:rsid w:val="58D60806"/>
    <w:rsid w:val="5BD70BD6"/>
    <w:rsid w:val="606A1672"/>
    <w:rsid w:val="64410F8F"/>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2022-07-26T08:51:51Z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